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华文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1"/>
        </w:numPr>
        <w:spacing w:line="50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工程造价：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人民医院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史馆布展工程总工期为 120日历天，工程造价为250万元。老门诊楼装修改造工程总工期为 80日历天，工程造价约为750万元。</w:t>
      </w:r>
    </w:p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、监理要求</w:t>
      </w:r>
    </w:p>
    <w:tbl>
      <w:tblPr>
        <w:tblStyle w:val="2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86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施工要求及施工内容：装修工程施工监理。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驻现场具体时间要求：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1、总监：除按相关规范要求做好日常监理工作，并按每月不少于当月施工天数的30%时间驻现场管理，并参与指纹考勤，重要工序节点全程在场。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2、专监及监理员：根据施工进度安排监理人员常驻现场，并按每月不少于当月施工天数的90%驻现场管理，并参与指纹考勤。若现场有施工，监理人员必须保证到位。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3、总监专监不得同天缺岗；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项目开工后，现场监理人员须在考勤时段内（上午7：00~8:30签到，下午5:30~6:30签退）考勤，只有签到（或只有签退）均视为缺勤。甲方对施工现场考勤时间段另有安排的，从其安排。每月底报送下月现场人员值班安排表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5、监理人员请假一天以上（不含一天）需书面申请，报建设单位项目现场负责人审批；一天以内可以口头或电话请假。如因伤病需请假，须提供二级甲等及以上医院证明材料。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备案要求：中标通知书签发后3个工作日内完成在江苏省建筑市场监管与诚信信息一体化平台备案，否则招标人有权取消其中标资格。监理单位派驻现场人员必须为备案人员，并按要求参加指纹考勤。监理合同签订后15个工作日内备案人员不到位视为严重违约，委托人有权单方解除合同，追究监理单位违约责任，并拒绝其参加后续海安市政府投资工程施工监理的投标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7、考勤要求：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7.1考勤设备费用：考勤设备相关费用自行承担，设备自行解决，设备型号须得到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委托人</w:t>
            </w:r>
            <w:r>
              <w:rPr>
                <w:rFonts w:hint="eastAsia" w:ascii="宋体" w:hAnsi="宋体"/>
                <w:szCs w:val="21"/>
              </w:rPr>
              <w:t>认可。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7.2对缺勤的违约处理：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7.2.1、按考核办法对出勤率进行考核打分；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7.2.2、总监理工程师每缺勤一天扣200元，其他管理人员每缺勤一天扣100元；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7.2.3、总监必须参加节点验收，总监不在场的每次扣2000元，总监必须参加现场检查，总监不在场的每次扣500元，其他监理人员每次扣200元。（值班表休息时间及已请假得到批准情形除外）；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7.2.4、总监连续7天未驻现场管理，委托人将要求监理人做出书面解释并保证人员限期到位；如监理人在规定期限内拒不整改的，监理人须向委托人支付违约金叁万元人民币，并作为不良行为记录上报建设行政主管部门备案，情节严重的，委托人有权单方面解除合同。</w:t>
            </w:r>
          </w:p>
          <w:p>
            <w:pPr>
              <w:spacing w:line="312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7.2.5、其他监理人员连续5天（或累计30天）未能驻现场管理，委托人将要求监理人做出书面解释并保证人员限期到位；如监理人在规定期限内拒不整改的，监理人须向委托人支付违约金每人壹万元人民币，并作为不良行为记录上报建设行政主管部门备案，情节严重的，委托人有权单方面解除合同。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监理机构人员配备要求</w:t>
      </w:r>
    </w:p>
    <w:p>
      <w:pPr>
        <w:spacing w:line="54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施工阶段监理单位派驻到现场的监理人员（含总监）总人数应符合下表要求：</w:t>
      </w:r>
    </w:p>
    <w:tbl>
      <w:tblPr>
        <w:tblStyle w:val="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32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岗位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人员要求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持证上岗要求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总监理工程师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 名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在投标申请单位注册的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房屋建筑工程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专业江苏省注册监理工程师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专业监理工程师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1名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在投标申请单位注册的房屋建筑工程专业省级监理工程师执业资格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监理员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1名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江苏省监理员考试合格房屋建筑工程专业监理员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总计</w:t>
            </w:r>
          </w:p>
        </w:tc>
        <w:tc>
          <w:tcPr>
            <w:tcW w:w="7058" w:type="dxa"/>
            <w:gridSpan w:val="2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3名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仿宋" w:hAnsi="仿宋" w:eastAsia="仿宋" w:cs="华文仿宋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F668"/>
    <w:multiLevelType w:val="singleLevel"/>
    <w:tmpl w:val="1C93F6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681A"/>
    <w:rsid w:val="0C5C2B39"/>
    <w:rsid w:val="106F4675"/>
    <w:rsid w:val="740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2020-10-22T02:42:00Z</dcterms:created>
  <dc:creator>Administrator</dc:creator>
  <cp:lastModifiedBy>Administrator</cp:lastModifiedBy>
  <dcterms:modified xsi:type="dcterms:W3CDTF">2020-10-23T00:42:47Z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