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widowControl/>
        <w:shd w:val="clear" w:color="auto" w:fill="FFFFFF"/>
        <w:spacing w:line="60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《感染科及发热病区监控采购安装》项</w:t>
      </w:r>
      <w:r>
        <w:rPr>
          <w:rFonts w:hint="eastAsia" w:ascii="黑体" w:hAnsi="黑体" w:eastAsia="黑体" w:cs="黑体"/>
          <w:b/>
          <w:color w:val="000000"/>
          <w:sz w:val="36"/>
          <w:szCs w:val="36"/>
        </w:rPr>
        <w:t>目</w:t>
      </w:r>
    </w:p>
    <w:p>
      <w:pPr>
        <w:widowControl/>
        <w:shd w:val="clear" w:color="auto" w:fill="FFFFFF"/>
        <w:spacing w:line="6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邀请比价采购文件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项目编号：HARY-XXK-040</w:t>
      </w:r>
    </w:p>
    <w:p>
      <w:pPr>
        <w:widowControl/>
        <w:shd w:val="clear" w:color="auto" w:fill="FFFFFF"/>
        <w:spacing w:line="600" w:lineRule="exact"/>
        <w:ind w:firstLine="280" w:firstLineChars="100"/>
        <w:rPr>
          <w:rFonts w:ascii="仿宋" w:hAnsi="仿宋" w:eastAsia="仿宋" w:cs="宋体"/>
          <w:kern w:val="0"/>
          <w:sz w:val="28"/>
          <w:szCs w:val="28"/>
        </w:rPr>
      </w:pPr>
      <w:r>
        <w:rPr>
          <w:rFonts w:hint="eastAsia" w:ascii="仿宋" w:hAnsi="仿宋" w:eastAsia="仿宋" w:cs="宋体"/>
          <w:color w:val="333333"/>
          <w:kern w:val="0"/>
          <w:sz w:val="28"/>
          <w:szCs w:val="28"/>
        </w:rPr>
        <w:t>项目名称：感染科及发热病区监控采购安装</w:t>
      </w:r>
    </w:p>
    <w:p>
      <w:pPr>
        <w:widowControl/>
        <w:shd w:val="clear" w:color="auto" w:fill="FFFFFF"/>
        <w:spacing w:line="480" w:lineRule="exact"/>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项目内容：感染科及发热病区安装高清监控点位40个</w:t>
      </w:r>
    </w:p>
    <w:p>
      <w:pPr>
        <w:widowControl/>
        <w:shd w:val="clear" w:color="auto" w:fill="FFFFFF"/>
        <w:spacing w:line="480" w:lineRule="exact"/>
        <w:ind w:firstLine="280" w:firstLineChars="100"/>
        <w:jc w:val="left"/>
        <w:rPr>
          <w:rFonts w:hint="eastAsia" w:ascii="仿宋" w:hAnsi="仿宋" w:eastAsia="仿宋" w:cs="宋体"/>
          <w:kern w:val="0"/>
          <w:sz w:val="28"/>
          <w:szCs w:val="28"/>
        </w:rPr>
      </w:pPr>
      <w:r>
        <w:rPr>
          <w:rFonts w:hint="eastAsia" w:ascii="仿宋" w:hAnsi="仿宋" w:eastAsia="仿宋" w:cs="宋体"/>
          <w:kern w:val="0"/>
          <w:sz w:val="28"/>
          <w:szCs w:val="28"/>
        </w:rPr>
        <w:t>项目要求：具体数量、参数见附件</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3.1.5参加政府采购活动前三年内，在经营活动中没有重大违法记录的书面声明（提供参加本次开标前三年内在经营活动中没有重大违法记录的书面声</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项目预算：项目预算为92345元</w:t>
      </w:r>
      <w:bookmarkStart w:id="0" w:name="_GoBack"/>
      <w:bookmarkEnd w:id="0"/>
      <w:r>
        <w:rPr>
          <w:rFonts w:hint="eastAsia" w:ascii="仿宋" w:hAnsi="仿宋" w:eastAsia="仿宋" w:cs="宋体"/>
          <w:color w:val="333333"/>
          <w:kern w:val="0"/>
          <w:sz w:val="28"/>
          <w:szCs w:val="28"/>
        </w:rPr>
        <w:t>（单位：人民币）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2、成交人不得用以任何方式转包或分包本项目；</w:t>
      </w:r>
    </w:p>
    <w:p>
      <w:pPr>
        <w:widowControl/>
        <w:shd w:val="clear" w:color="auto" w:fill="FFFFFF"/>
        <w:spacing w:line="50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 xml:space="preserve">四、现场洽谈 </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2021年8月17日  9：00（北京时间）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 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付款方式</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一年后</w:t>
      </w:r>
      <w:r>
        <w:rPr>
          <w:rFonts w:hint="eastAsia" w:ascii="仿宋" w:hAnsi="仿宋" w:eastAsia="仿宋" w:cs="宋体"/>
          <w:color w:val="333333"/>
          <w:kern w:val="0"/>
          <w:sz w:val="28"/>
          <w:szCs w:val="28"/>
        </w:rPr>
        <w:t>无质量问题付清</w:t>
      </w:r>
      <w:r>
        <w:rPr>
          <w:rFonts w:hint="eastAsia" w:ascii="仿宋" w:hAnsi="仿宋" w:eastAsia="仿宋" w:cs="宋体"/>
          <w:color w:val="333333"/>
          <w:kern w:val="0"/>
          <w:sz w:val="28"/>
          <w:szCs w:val="28"/>
          <w:lang w:val="en-US" w:eastAsia="zh-CN"/>
        </w:rPr>
        <w:t>余款</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不计息</w:t>
      </w:r>
      <w:r>
        <w:rPr>
          <w:rFonts w:hint="eastAsia" w:ascii="仿宋" w:hAnsi="仿宋" w:eastAsia="仿宋" w:cs="宋体"/>
          <w:color w:val="333333"/>
          <w:kern w:val="0"/>
          <w:sz w:val="28"/>
          <w:szCs w:val="28"/>
        </w:rPr>
        <w:t>。</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.1签定合同日期：自成交公告结束后</w:t>
      </w:r>
      <w:r>
        <w:rPr>
          <w:rFonts w:hint="eastAsia" w:ascii="仿宋" w:hAnsi="仿宋" w:eastAsia="仿宋" w:cs="宋体"/>
          <w:color w:val="333333"/>
          <w:kern w:val="0"/>
          <w:sz w:val="28"/>
          <w:szCs w:val="28"/>
          <w:lang w:val="en-US" w:eastAsia="zh-CN"/>
        </w:rPr>
        <w:t xml:space="preserve"> 7</w:t>
      </w:r>
      <w:r>
        <w:rPr>
          <w:rFonts w:hint="eastAsia" w:ascii="仿宋" w:hAnsi="仿宋" w:eastAsia="仿宋" w:cs="宋体"/>
          <w:color w:val="333333"/>
          <w:kern w:val="0"/>
          <w:sz w:val="28"/>
          <w:szCs w:val="28"/>
          <w:u w:val="single"/>
          <w:lang w:val="en-US" w:eastAsia="zh-CN"/>
        </w:rPr>
        <w:t xml:space="preserve">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 xml:space="preserve">.2交货期（服务时间）：自合同签定之日起 </w:t>
      </w:r>
      <w:r>
        <w:rPr>
          <w:rFonts w:hint="eastAsia" w:ascii="仿宋" w:hAnsi="仿宋" w:eastAsia="仿宋" w:cs="宋体"/>
          <w:color w:val="333333"/>
          <w:kern w:val="0"/>
          <w:sz w:val="28"/>
          <w:szCs w:val="28"/>
          <w:lang w:val="en-US" w:eastAsia="zh-CN"/>
        </w:rPr>
        <w:t>1</w:t>
      </w:r>
      <w:r>
        <w:rPr>
          <w:rFonts w:hint="eastAsia" w:ascii="仿宋" w:hAnsi="仿宋" w:eastAsia="仿宋" w:cs="宋体"/>
          <w:color w:val="000000" w:themeColor="text1"/>
          <w:kern w:val="0"/>
          <w:sz w:val="28"/>
          <w:szCs w:val="28"/>
          <w:u w:val="single"/>
          <w:lang w:val="en-US" w:eastAsia="zh-CN"/>
          <w14:textFill>
            <w14:solidFill>
              <w14:schemeClr w14:val="tx1"/>
            </w14:solidFill>
          </w14:textFill>
        </w:rPr>
        <w:t>0个工作日</w:t>
      </w:r>
      <w:r>
        <w:rPr>
          <w:rFonts w:hint="eastAsia" w:ascii="仿宋" w:hAnsi="仿宋" w:eastAsia="仿宋" w:cs="宋体"/>
          <w:color w:val="333333"/>
          <w:kern w:val="0"/>
          <w:sz w:val="28"/>
          <w:szCs w:val="28"/>
        </w:rPr>
        <w:t>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.4质保期限（自交货并验收合格之日起计）：</w:t>
      </w:r>
      <w:r>
        <w:rPr>
          <w:rFonts w:hint="eastAsia" w:ascii="仿宋" w:hAnsi="仿宋" w:eastAsia="仿宋" w:cs="宋体"/>
          <w:color w:val="333333"/>
          <w:kern w:val="0"/>
          <w:sz w:val="28"/>
          <w:szCs w:val="28"/>
          <w:lang w:val="en-US" w:eastAsia="zh-CN"/>
        </w:rPr>
        <w:t>原厂</w:t>
      </w:r>
      <w:r>
        <w:rPr>
          <w:rFonts w:hint="eastAsia" w:ascii="仿宋" w:hAnsi="仿宋" w:eastAsia="仿宋" w:cs="宋体"/>
          <w:color w:val="333333"/>
          <w:kern w:val="0"/>
          <w:sz w:val="28"/>
          <w:szCs w:val="28"/>
        </w:rPr>
        <w:t>质保</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w:t>
      </w:r>
      <w:r>
        <w:rPr>
          <w:rFonts w:hint="eastAsia" w:ascii="仿宋" w:hAnsi="仿宋" w:eastAsia="仿宋" w:cs="宋体"/>
          <w:color w:val="333333"/>
          <w:kern w:val="0"/>
          <w:sz w:val="28"/>
          <w:szCs w:val="28"/>
          <w:lang w:val="en-US" w:eastAsia="zh-CN"/>
        </w:rPr>
        <w:t>人员</w:t>
      </w:r>
      <w:r>
        <w:rPr>
          <w:rFonts w:hint="eastAsia" w:ascii="仿宋" w:hAnsi="仿宋" w:eastAsia="仿宋" w:cs="宋体"/>
          <w:color w:val="333333"/>
          <w:kern w:val="0"/>
          <w:sz w:val="28"/>
          <w:szCs w:val="28"/>
        </w:rPr>
        <w:t>到达现场协助验收工作，保证货物经正确安装、正常运转和保养，在其使用寿命期内具有符合质量要求和产品说明书的性能。</w:t>
      </w:r>
    </w:p>
    <w:p>
      <w:pPr>
        <w:widowControl/>
        <w:shd w:val="clear" w:color="auto" w:fill="FFFFFF"/>
        <w:spacing w:line="480" w:lineRule="exact"/>
        <w:jc w:val="left"/>
        <w:rPr>
          <w:rFonts w:ascii="仿宋" w:hAnsi="仿宋" w:eastAsia="仿宋" w:cs="宋体"/>
          <w:b/>
          <w:bCs/>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FF0000"/>
          <w:kern w:val="0"/>
          <w:sz w:val="28"/>
          <w:szCs w:val="28"/>
        </w:rPr>
      </w:pPr>
    </w:p>
    <w:p>
      <w:pPr>
        <w:widowControl/>
        <w:shd w:val="clear" w:color="auto" w:fill="FFFFFF"/>
        <w:spacing w:line="440" w:lineRule="exact"/>
        <w:jc w:val="left"/>
        <w:rPr>
          <w:rFonts w:hint="eastAsia" w:ascii="仿宋" w:hAnsi="仿宋" w:eastAsia="仿宋" w:cs="宋体"/>
          <w:b/>
          <w:bCs/>
          <w:color w:val="000000" w:themeColor="text1"/>
          <w:kern w:val="0"/>
          <w:sz w:val="30"/>
          <w:szCs w:val="30"/>
        </w:rPr>
      </w:pPr>
      <w:r>
        <w:rPr>
          <w:rFonts w:hint="eastAsia" w:ascii="仿宋" w:hAnsi="仿宋" w:eastAsia="仿宋" w:cs="宋体"/>
          <w:b/>
          <w:bCs/>
          <w:color w:val="000000" w:themeColor="text1"/>
          <w:kern w:val="0"/>
          <w:sz w:val="30"/>
          <w:szCs w:val="30"/>
        </w:rPr>
        <w:t>附件:</w:t>
      </w:r>
    </w:p>
    <w:p>
      <w:pPr>
        <w:widowControl/>
        <w:shd w:val="clear" w:color="auto" w:fill="FFFFFF"/>
        <w:spacing w:line="440" w:lineRule="exact"/>
        <w:jc w:val="left"/>
        <w:rPr>
          <w:rFonts w:hint="eastAsia" w:ascii="仿宋" w:hAnsi="仿宋" w:eastAsia="仿宋" w:cs="宋体"/>
          <w:b/>
          <w:bCs/>
          <w:color w:val="000000" w:themeColor="text1"/>
          <w:kern w:val="0"/>
          <w:sz w:val="28"/>
          <w:szCs w:val="28"/>
        </w:rPr>
      </w:pPr>
    </w:p>
    <w:tbl>
      <w:tblPr>
        <w:tblStyle w:val="4"/>
        <w:tblW w:w="8638" w:type="dxa"/>
        <w:tblInd w:w="0" w:type="dxa"/>
        <w:tblLayout w:type="fixed"/>
        <w:tblCellMar>
          <w:top w:w="0" w:type="dxa"/>
          <w:left w:w="0" w:type="dxa"/>
          <w:bottom w:w="0" w:type="dxa"/>
          <w:right w:w="0" w:type="dxa"/>
        </w:tblCellMar>
      </w:tblPr>
      <w:tblGrid>
        <w:gridCol w:w="840"/>
        <w:gridCol w:w="1680"/>
        <w:gridCol w:w="3973"/>
        <w:gridCol w:w="1095"/>
        <w:gridCol w:w="1050"/>
      </w:tblGrid>
      <w:tr>
        <w:tblPrEx>
          <w:tblCellMar>
            <w:top w:w="0" w:type="dxa"/>
            <w:left w:w="0" w:type="dxa"/>
            <w:bottom w:w="0" w:type="dxa"/>
            <w:right w:w="0" w:type="dxa"/>
          </w:tblCellMar>
        </w:tblPrEx>
        <w:trPr>
          <w:trHeight w:val="360" w:hRule="atLeast"/>
        </w:trPr>
        <w:tc>
          <w:tcPr>
            <w:tcW w:w="840" w:type="dxa"/>
            <w:tcBorders>
              <w:top w:val="single" w:color="000000" w:sz="4" w:space="0"/>
              <w:left w:val="single" w:color="000000" w:sz="4" w:space="0"/>
              <w:bottom w:val="nil"/>
              <w:right w:val="single" w:color="000000" w:sz="4" w:space="0"/>
            </w:tcBorders>
            <w:shd w:val="clear" w:color="auto" w:fill="E7E6E6"/>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rPr>
              <w:t>序号</w:t>
            </w:r>
          </w:p>
        </w:tc>
        <w:tc>
          <w:tcPr>
            <w:tcW w:w="1680" w:type="dxa"/>
            <w:tcBorders>
              <w:top w:val="single" w:color="000000" w:sz="4" w:space="0"/>
              <w:left w:val="single" w:color="000000" w:sz="4" w:space="0"/>
              <w:bottom w:val="nil"/>
              <w:right w:val="single" w:color="000000" w:sz="4" w:space="0"/>
            </w:tcBorders>
            <w:shd w:val="clear" w:color="auto" w:fill="E7E6E6"/>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rPr>
              <w:t>货物名称</w:t>
            </w:r>
          </w:p>
        </w:tc>
        <w:tc>
          <w:tcPr>
            <w:tcW w:w="3973" w:type="dxa"/>
            <w:tcBorders>
              <w:top w:val="single" w:color="000000" w:sz="4" w:space="0"/>
              <w:left w:val="single" w:color="000000" w:sz="4" w:space="0"/>
              <w:bottom w:val="nil"/>
              <w:right w:val="single" w:color="000000" w:sz="4" w:space="0"/>
            </w:tcBorders>
            <w:shd w:val="clear" w:color="auto" w:fill="E7E6E6"/>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rPr>
              <w:t>参数</w:t>
            </w:r>
          </w:p>
        </w:tc>
        <w:tc>
          <w:tcPr>
            <w:tcW w:w="1095" w:type="dxa"/>
            <w:tcBorders>
              <w:top w:val="single" w:color="000000" w:sz="4" w:space="0"/>
              <w:left w:val="single" w:color="000000" w:sz="4" w:space="0"/>
              <w:bottom w:val="nil"/>
              <w:right w:val="single" w:color="000000" w:sz="4" w:space="0"/>
            </w:tcBorders>
            <w:shd w:val="clear" w:color="auto" w:fill="E7E6E6"/>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rPr>
              <w:t>数量</w:t>
            </w:r>
          </w:p>
        </w:tc>
        <w:tc>
          <w:tcPr>
            <w:tcW w:w="1050" w:type="dxa"/>
            <w:tcBorders>
              <w:top w:val="single" w:color="000000" w:sz="4" w:space="0"/>
              <w:left w:val="single" w:color="000000" w:sz="4" w:space="0"/>
              <w:bottom w:val="nil"/>
              <w:right w:val="single" w:color="000000" w:sz="4" w:space="0"/>
            </w:tcBorders>
            <w:shd w:val="clear" w:color="auto" w:fill="E7E6E6"/>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rPr>
              <w:t>单位</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高清网络摄像机</w:t>
            </w:r>
          </w:p>
        </w:tc>
        <w:tc>
          <w:tcPr>
            <w:tcW w:w="3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400万 1/1.8" CMOS 臻全彩半球型网络摄像机最低照度: 彩色：0.0005 Lux @（F1.0，AGC ON）, 0 Lux with Light宽动态: 120 dB</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调节角度: 水平：0°~360°，垂直：0°~75°，旋转：0°~360°景深范围:</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2.8 mm：3.1 m~∞4 mm：3.6 m~∞6 mm：7.8 m~∞焦距&amp;视场角:</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2.8 mm，水平视场角：105.7°，垂直视场角：57.2°，对角视场角：124.5°4 mm，水平视场角：88.7°，垂直视场角：44.7°，对角线视场角：107.5°6 mm，水平视场角：55.2°，垂直视场角：29.3°，对角视场角：64.6°</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防补光过曝: 支持补光灯类型: 柔光灯</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补光距离: 最远可达30 m</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最大图像尺寸: 2560 × 1440</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视频压缩标准: 主码流：H.265/H.264</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网络存储: 支持NAS（NFS，SMB/CIFS均支持），支持Micro SD(即TF卡)/Micro SDHC/Micro SDXC卡（最大256 GB）</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报警: 1路输入，1路输出（报警输出最大支持DC12 V，20 mA）</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音频: 1个内置麦克风；1路输入（Line in），1路输出（Line out）</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网络: 1个RJ45 10 M/100 M自适应以太网口启动及工作温湿度: -30 ℃~60 ℃，湿度小于95%（无凝结）供电方式: DC：12 V ± 25%，支持防反接保护电流及功耗: DC：12 V，0.46 A，最大功耗：5.5 W</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电源接口类型: Ø5.5 mm圆口</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高清防逆光宽动态网络摄像机</w:t>
            </w:r>
          </w:p>
        </w:tc>
        <w:tc>
          <w:tcPr>
            <w:tcW w:w="3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400万 1/3" CMOS ICR日夜型半球型网络摄像机支持三轴调节，方便安装</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最低照度: 彩色：0.005 Lux @（1.2，AGC ON），0 Lux with IR</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宽动态: 120 dB调节角度: 手动调节：水平：0°~355°，垂直：0°~75°，旋转：0°~355°</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焦距&amp;视场角: 2.7~12 mm，水平视场角：102°~29°红外距离: 最远可达30 m</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最大图像尺寸: 2560 × 1440</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视频压缩标准: 主码流：H.265/H.264</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★同一静止场景相同图像质量下，设备在H.265编码方式时，开启智能编码功能和不开启智能编码相比，码率节约1/2。（公安部检验报告证明）网络: 1个RJ45 10 M/100 M自适应以太网口音频: 1路输入（Line in），1路输出（Line out）报警: 2路输入，2路输出（报警输出最大支持DC12 V，30 mA）</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启动及工作温湿度: -30 ℃~60 ℃，湿度小于95%（无凝结）</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供电方式: DC：12 V ± 25%</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电源接口类型: Ø5.5 mm圆口</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电流及功耗: DC：12 V，0.58 A</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电源</w:t>
            </w:r>
          </w:p>
        </w:tc>
        <w:tc>
          <w:tcPr>
            <w:tcW w:w="3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摄像机专用电源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线材</w:t>
            </w:r>
          </w:p>
        </w:tc>
        <w:tc>
          <w:tcPr>
            <w:tcW w:w="3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网线、电源线、辅材等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交换机</w:t>
            </w:r>
          </w:p>
        </w:tc>
        <w:tc>
          <w:tcPr>
            <w:tcW w:w="3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 ★交换容量≥432Gbps，包转发率≥87Mpps</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2. ★千兆电口≥48个，千兆光口≥4个</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3. 实现CPU保护功能，能限制非法报文对CPU的攻击，保护交换机在各种环境下稳定工作</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4. ★支持多虚一技术(N:1)，可将多台物理设备虚拟化为1台逻辑设备，支持纵向虚拟化技术，实现核心和接入层设备的控制转发平面统一管理，要求提供官网截图并加盖设备制造厂商公章证明；</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5. ★内置智能管理平台，以图形化操作的方式，实现对网络的统一运维及管理，要求提供官网截图并加盖设备制造厂商公章证明；</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6. 支持最多8个端口聚合；支持最多128个聚合组；支持LACP</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7. 支持静态路由、RIP V1/V2、OSPF</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8. 支持基于第二层、第三层和第四层的ACL；支持802.1x认证，支持集中式MAC地址认证；</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9. ★支持防雷等级≥10KV，要求提供官网截图并加盖设备制造厂商公章证明；</w:t>
            </w:r>
            <w:r>
              <w:rPr>
                <w:rFonts w:hint="eastAsia" w:ascii="微软雅黑" w:hAnsi="微软雅黑" w:eastAsia="微软雅黑" w:cs="微软雅黑"/>
                <w:color w:val="000000"/>
                <w:kern w:val="0"/>
                <w:sz w:val="20"/>
                <w:szCs w:val="20"/>
              </w:rPr>
              <w:br w:type="textWrapping"/>
            </w:r>
            <w:r>
              <w:rPr>
                <w:rFonts w:hint="eastAsia" w:ascii="微软雅黑" w:hAnsi="微软雅黑" w:eastAsia="微软雅黑" w:cs="微软雅黑"/>
                <w:color w:val="000000"/>
                <w:kern w:val="0"/>
                <w:sz w:val="20"/>
                <w:szCs w:val="20"/>
              </w:rPr>
              <w:t>10. 支持OPENFLOW 1.3标准支持普通模式和Openflow 模式切换</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光模块</w:t>
            </w:r>
          </w:p>
        </w:tc>
        <w:tc>
          <w:tcPr>
            <w:tcW w:w="3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千兆光模块-SFP-GE-单模模块-(1310nm,10km,LC)</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块</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辅材</w:t>
            </w:r>
          </w:p>
        </w:tc>
        <w:tc>
          <w:tcPr>
            <w:tcW w:w="3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管材、尾纤等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批</w:t>
            </w:r>
          </w:p>
        </w:tc>
      </w:tr>
    </w:tbl>
    <w:p>
      <w:pPr>
        <w:widowControl/>
        <w:shd w:val="clear" w:color="auto" w:fill="FFFFFF"/>
        <w:spacing w:line="440" w:lineRule="exact"/>
        <w:jc w:val="left"/>
        <w:rPr>
          <w:rFonts w:hint="eastAsia" w:ascii="宋体" w:hAnsi="宋体" w:cs="宋体"/>
          <w:b/>
          <w:bCs/>
          <w:color w:val="000000"/>
          <w:sz w:val="28"/>
          <w:szCs w:val="28"/>
          <w:lang w:val="en-US" w:eastAsia="zh-CN"/>
        </w:rPr>
      </w:pPr>
    </w:p>
    <w:p>
      <w:pPr>
        <w:widowControl/>
        <w:shd w:val="clear" w:color="auto" w:fill="FFFFFF"/>
        <w:spacing w:line="440" w:lineRule="exact"/>
        <w:jc w:val="left"/>
        <w:rPr>
          <w:rFonts w:ascii="仿宋" w:hAnsi="仿宋" w:eastAsia="仿宋" w:cs="宋体"/>
          <w:color w:val="333333"/>
          <w:kern w:val="0"/>
          <w:sz w:val="28"/>
          <w:szCs w:val="28"/>
        </w:rPr>
      </w:pPr>
      <w:r>
        <w:rPr>
          <w:rFonts w:hint="eastAsia" w:ascii="宋体" w:hAnsi="宋体" w:cs="宋体"/>
          <w:b/>
          <w:bCs/>
          <w:color w:val="000000"/>
          <w:sz w:val="28"/>
          <w:szCs w:val="28"/>
          <w:lang w:val="en-US" w:eastAsia="zh-CN"/>
        </w:rPr>
        <w:t>注：</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GB" w:eastAsia="zh-CN"/>
        </w:rPr>
        <w:t>★</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号</w:t>
      </w:r>
      <w:r>
        <w:rPr>
          <w:rFonts w:hint="eastAsia" w:ascii="宋体" w:hAnsi="宋体" w:eastAsia="宋体" w:cs="宋体"/>
          <w:b/>
          <w:bCs/>
          <w:color w:val="000000"/>
          <w:sz w:val="28"/>
          <w:szCs w:val="28"/>
        </w:rPr>
        <w:t>项必须满足，</w:t>
      </w:r>
      <w:r>
        <w:rPr>
          <w:rFonts w:hint="eastAsia" w:ascii="宋体" w:hAnsi="宋体" w:eastAsia="宋体" w:cs="宋体"/>
          <w:b/>
          <w:bCs/>
          <w:color w:val="000000"/>
          <w:sz w:val="28"/>
          <w:szCs w:val="28"/>
          <w:lang w:val="en-US" w:eastAsia="zh-CN"/>
        </w:rPr>
        <w:t>不接受负偏离。</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605"/>
    <w:rsid w:val="00443605"/>
    <w:rsid w:val="005E6F12"/>
    <w:rsid w:val="00794923"/>
    <w:rsid w:val="007A0B79"/>
    <w:rsid w:val="00C03246"/>
    <w:rsid w:val="00EC395E"/>
    <w:rsid w:val="0199699A"/>
    <w:rsid w:val="02370C46"/>
    <w:rsid w:val="03B64FE7"/>
    <w:rsid w:val="03E32B6C"/>
    <w:rsid w:val="04065AB8"/>
    <w:rsid w:val="055B7809"/>
    <w:rsid w:val="07A1652D"/>
    <w:rsid w:val="09227C4C"/>
    <w:rsid w:val="0CA50980"/>
    <w:rsid w:val="0F420753"/>
    <w:rsid w:val="0F7F0439"/>
    <w:rsid w:val="16792E63"/>
    <w:rsid w:val="172E67C9"/>
    <w:rsid w:val="1BD2213B"/>
    <w:rsid w:val="1BFE34D3"/>
    <w:rsid w:val="1CF57E24"/>
    <w:rsid w:val="1D8204B6"/>
    <w:rsid w:val="23EF12B6"/>
    <w:rsid w:val="25447189"/>
    <w:rsid w:val="276D6DCD"/>
    <w:rsid w:val="2A2A097C"/>
    <w:rsid w:val="2E087145"/>
    <w:rsid w:val="2EB07802"/>
    <w:rsid w:val="2F31278D"/>
    <w:rsid w:val="3447121E"/>
    <w:rsid w:val="38AF2912"/>
    <w:rsid w:val="3B3E3631"/>
    <w:rsid w:val="3CB84BD2"/>
    <w:rsid w:val="3DA5569E"/>
    <w:rsid w:val="440E040E"/>
    <w:rsid w:val="45ED4171"/>
    <w:rsid w:val="49C4715E"/>
    <w:rsid w:val="4AEC73C7"/>
    <w:rsid w:val="4D1D567E"/>
    <w:rsid w:val="4FCE52B8"/>
    <w:rsid w:val="51E72EA1"/>
    <w:rsid w:val="540D5F55"/>
    <w:rsid w:val="570A6964"/>
    <w:rsid w:val="58FB657E"/>
    <w:rsid w:val="5C913404"/>
    <w:rsid w:val="5E39324F"/>
    <w:rsid w:val="5F192361"/>
    <w:rsid w:val="61BB62CF"/>
    <w:rsid w:val="621E30C8"/>
    <w:rsid w:val="65E01B51"/>
    <w:rsid w:val="675D57CC"/>
    <w:rsid w:val="67BC1058"/>
    <w:rsid w:val="6A5B0572"/>
    <w:rsid w:val="6B7768A3"/>
    <w:rsid w:val="708A46C3"/>
    <w:rsid w:val="71EF3F72"/>
    <w:rsid w:val="738315B2"/>
    <w:rsid w:val="7C456D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398</Words>
  <Characters>2275</Characters>
  <Lines>18</Lines>
  <Paragraphs>5</Paragraphs>
  <TotalTime>9</TotalTime>
  <ScaleCrop>false</ScaleCrop>
  <LinksUpToDate>false</LinksUpToDate>
  <CharactersWithSpaces>2668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2021-06-18T03:37:00Z</dcterms:created>
  <dc:creator>Administrator</dc:creator>
  <cp:lastModifiedBy>Administrator</cp:lastModifiedBy>
  <cp:lastPrinted>2021-08-12T08:26:21Z</cp:lastPrinted>
  <dcterms:modified xsi:type="dcterms:W3CDTF">2021-08-12T08:26:26Z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7DEB8983165C4A84838F6512C95EEEBD</vt:lpwstr>
  </property>
</Properties>
</file>