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2"/>
          <w:szCs w:val="32"/>
          <w:lang w:val="en-US" w:eastAsia="zh-CN"/>
        </w:rPr>
      </w:pPr>
      <w:r>
        <w:rPr>
          <w:rFonts w:hint="eastAsia"/>
          <w:b/>
          <w:sz w:val="32"/>
          <w:szCs w:val="32"/>
          <w:lang w:val="en-US" w:eastAsia="zh-CN"/>
        </w:rPr>
        <w:t>海安市人民医院老外科楼三层血透室水处理及附房加固项目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2"/>
          <w:szCs w:val="32"/>
        </w:rPr>
      </w:pPr>
      <w:r>
        <w:rPr>
          <w:rFonts w:hint="eastAsia"/>
          <w:b/>
          <w:sz w:val="32"/>
          <w:szCs w:val="32"/>
        </w:rPr>
        <w:t>工程总说明</w:t>
      </w:r>
    </w:p>
    <w:p>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一、工程概况</w:t>
      </w:r>
    </w:p>
    <w:p>
      <w:pPr>
        <w:numPr>
          <w:ilvl w:val="0"/>
          <w:numId w:val="1"/>
        </w:numPr>
        <w:tabs>
          <w:tab w:val="left" w:pos="900"/>
          <w:tab w:val="clear" w:pos="1288"/>
        </w:tabs>
        <w:spacing w:line="360" w:lineRule="auto"/>
        <w:ind w:left="-1" w:firstLine="540"/>
        <w:jc w:val="left"/>
        <w:rPr>
          <w:rFonts w:hint="default" w:ascii="宋体" w:hAnsi="宋体"/>
          <w:sz w:val="24"/>
          <w:lang w:val="en-US" w:eastAsia="zh-CN"/>
        </w:rPr>
      </w:pPr>
      <w:r>
        <w:rPr>
          <w:rFonts w:hint="eastAsia" w:ascii="宋体" w:hAnsi="宋体"/>
          <w:sz w:val="24"/>
          <w:lang w:val="en-US" w:eastAsia="zh-CN"/>
        </w:rPr>
        <w:t>本工程为原外科楼三层血透室水处理及附房加固工程，加固面积约13</w:t>
      </w:r>
      <w:bookmarkStart w:id="0" w:name="_GoBack"/>
      <w:bookmarkEnd w:id="0"/>
      <w:r>
        <w:rPr>
          <w:rFonts w:hint="eastAsia" w:ascii="宋体" w:hAnsi="宋体"/>
          <w:sz w:val="24"/>
          <w:lang w:val="en-US" w:eastAsia="zh-CN"/>
        </w:rPr>
        <w:t>0平方米。施工内容包含拆除、加固</w:t>
      </w:r>
      <w:r>
        <w:rPr>
          <w:rFonts w:hint="eastAsia" w:ascii="宋体" w:hAnsi="宋体"/>
          <w:sz w:val="24"/>
          <w:lang w:eastAsia="zh-CN"/>
        </w:rPr>
        <w:t>。</w:t>
      </w:r>
    </w:p>
    <w:p>
      <w:pPr>
        <w:spacing w:line="360" w:lineRule="auto"/>
        <w:rPr>
          <w:rFonts w:ascii="宋体" w:hAnsi="宋体"/>
          <w:b/>
          <w:sz w:val="24"/>
        </w:rPr>
      </w:pPr>
      <w:r>
        <w:rPr>
          <w:rFonts w:hint="eastAsia" w:ascii="宋体" w:hAnsi="宋体"/>
          <w:b/>
          <w:sz w:val="24"/>
        </w:rPr>
        <w:t>二、清单编制依据</w:t>
      </w:r>
    </w:p>
    <w:p>
      <w:pPr>
        <w:numPr>
          <w:ilvl w:val="0"/>
          <w:numId w:val="2"/>
        </w:numPr>
        <w:spacing w:line="360" w:lineRule="auto"/>
        <w:rPr>
          <w:rFonts w:hint="eastAsia" w:ascii="宋体" w:hAnsi="宋体"/>
          <w:sz w:val="24"/>
        </w:rPr>
      </w:pPr>
      <w:r>
        <w:rPr>
          <w:rFonts w:hint="eastAsia" w:ascii="宋体" w:hAnsi="宋体"/>
          <w:sz w:val="24"/>
        </w:rPr>
        <w:t>根据</w:t>
      </w:r>
      <w:r>
        <w:rPr>
          <w:rFonts w:hint="eastAsia" w:ascii="宋体" w:hAnsi="宋体"/>
          <w:sz w:val="24"/>
          <w:lang w:eastAsia="zh-CN"/>
        </w:rPr>
        <w:t>业主提供的图纸</w:t>
      </w:r>
      <w:r>
        <w:rPr>
          <w:rFonts w:hint="eastAsia" w:ascii="宋体" w:hAnsi="宋体"/>
          <w:sz w:val="24"/>
          <w:lang w:val="en-US" w:eastAsia="zh-CN"/>
        </w:rPr>
        <w:t>等</w:t>
      </w:r>
      <w:r>
        <w:rPr>
          <w:rFonts w:hint="eastAsia" w:ascii="宋体" w:hAnsi="宋体"/>
          <w:color w:val="000000"/>
          <w:sz w:val="24"/>
        </w:rPr>
        <w:t>；</w:t>
      </w:r>
    </w:p>
    <w:p>
      <w:pPr>
        <w:numPr>
          <w:ilvl w:val="0"/>
          <w:numId w:val="2"/>
        </w:numPr>
        <w:spacing w:line="360" w:lineRule="auto"/>
        <w:rPr>
          <w:rFonts w:hint="eastAsia" w:ascii="宋体" w:hAnsi="宋体"/>
          <w:sz w:val="24"/>
        </w:rPr>
      </w:pPr>
      <w:r>
        <w:rPr>
          <w:rFonts w:hint="eastAsia" w:ascii="宋体" w:hAnsi="宋体"/>
          <w:sz w:val="24"/>
        </w:rPr>
        <w:t>按照国家现行《建设工程工程量清单计价规范》（GB50500-2013）；</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eastAsia="zh-CN"/>
        </w:rPr>
        <w:t>建筑与装饰</w:t>
      </w:r>
      <w:r>
        <w:rPr>
          <w:rFonts w:hint="eastAsia" w:ascii="宋体" w:hAnsi="宋体"/>
          <w:sz w:val="24"/>
        </w:rPr>
        <w:t>工程计价定额》(江苏省住房和城乡建设厅2014年）；</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eastAsia="zh-CN"/>
        </w:rPr>
        <w:t>房屋修缮计价表</w:t>
      </w:r>
      <w:r>
        <w:rPr>
          <w:rFonts w:hint="eastAsia" w:ascii="宋体" w:hAnsi="宋体"/>
          <w:sz w:val="24"/>
        </w:rPr>
        <w:t>》(江苏省住房和城乡建设厅20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val="en-US" w:eastAsia="zh-CN"/>
        </w:rPr>
        <w:t>抗震加固</w:t>
      </w:r>
      <w:r>
        <w:rPr>
          <w:rFonts w:hint="eastAsia" w:ascii="宋体" w:hAnsi="宋体"/>
          <w:sz w:val="24"/>
        </w:rPr>
        <w:t>工程计价定额》(江苏省住房和城乡建设厅20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p>
    <w:p>
      <w:pPr>
        <w:numPr>
          <w:ilvl w:val="0"/>
          <w:numId w:val="2"/>
        </w:numPr>
        <w:spacing w:line="360" w:lineRule="auto"/>
        <w:rPr>
          <w:rFonts w:hint="eastAsia" w:ascii="宋体" w:hAnsi="宋体"/>
          <w:sz w:val="24"/>
        </w:rPr>
      </w:pPr>
      <w:r>
        <w:rPr>
          <w:rFonts w:hint="eastAsia" w:ascii="宋体" w:hAnsi="宋体"/>
          <w:sz w:val="24"/>
        </w:rPr>
        <w:t>《江苏省建设工程费用定额》（2014）；</w:t>
      </w:r>
    </w:p>
    <w:p>
      <w:pPr>
        <w:numPr>
          <w:ilvl w:val="0"/>
          <w:numId w:val="2"/>
        </w:numPr>
        <w:spacing w:line="360" w:lineRule="auto"/>
        <w:rPr>
          <w:rFonts w:hint="eastAsia" w:ascii="宋体" w:hAnsi="宋体"/>
          <w:sz w:val="24"/>
        </w:rPr>
      </w:pPr>
      <w:r>
        <w:rPr>
          <w:rFonts w:hint="eastAsia" w:ascii="宋体" w:hAnsi="宋体"/>
          <w:sz w:val="24"/>
        </w:rPr>
        <w:t>有关补充规定的通知及配套文件；</w:t>
      </w:r>
    </w:p>
    <w:p>
      <w:pPr>
        <w:spacing w:line="360" w:lineRule="auto"/>
        <w:jc w:val="left"/>
        <w:rPr>
          <w:rFonts w:hint="eastAsia" w:ascii="宋体" w:hAnsi="宋体"/>
          <w:b/>
          <w:color w:val="0D0D0D"/>
          <w:sz w:val="24"/>
        </w:rPr>
      </w:pPr>
      <w:r>
        <w:rPr>
          <w:rFonts w:hint="eastAsia" w:ascii="宋体" w:hAnsi="宋体"/>
          <w:b/>
          <w:color w:val="0D0D0D"/>
          <w:sz w:val="24"/>
        </w:rPr>
        <w:t>三 、招标控制价编制依据</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hint="eastAsia" w:ascii="宋体" w:hAnsi="宋体" w:cs="宋体"/>
          <w:color w:val="0D0D0D"/>
          <w:kern w:val="0"/>
          <w:sz w:val="24"/>
        </w:rPr>
      </w:pPr>
      <w:r>
        <w:rPr>
          <w:rFonts w:hint="eastAsia" w:ascii="宋体" w:hAnsi="宋体" w:cs="宋体"/>
          <w:color w:val="0D0D0D"/>
          <w:kern w:val="0"/>
          <w:sz w:val="24"/>
          <w:lang w:val="en-US" w:eastAsia="zh-CN"/>
        </w:rPr>
        <w:t>1、</w:t>
      </w:r>
      <w:r>
        <w:rPr>
          <w:rFonts w:hint="eastAsia" w:ascii="宋体" w:hAnsi="宋体" w:cs="宋体"/>
          <w:color w:val="0D0D0D"/>
          <w:kern w:val="0"/>
          <w:sz w:val="24"/>
        </w:rPr>
        <w:t>《江苏省建筑与装饰工程计价定额》（2014版）；《江苏省</w:t>
      </w:r>
      <w:r>
        <w:rPr>
          <w:rFonts w:hint="eastAsia" w:ascii="宋体" w:hAnsi="宋体" w:cs="宋体"/>
          <w:color w:val="0D0D0D"/>
          <w:kern w:val="0"/>
          <w:sz w:val="24"/>
          <w:lang w:val="en-US" w:eastAsia="zh-CN"/>
        </w:rPr>
        <w:t>抗震加固</w:t>
      </w:r>
      <w:r>
        <w:rPr>
          <w:rFonts w:hint="eastAsia" w:ascii="宋体" w:hAnsi="宋体" w:cs="宋体"/>
          <w:color w:val="0D0D0D"/>
          <w:kern w:val="0"/>
          <w:sz w:val="24"/>
        </w:rPr>
        <w:t>工程计价定额》（2014版）；《江苏省建设工程费用定额》（2014年）；</w:t>
      </w:r>
      <w:r>
        <w:rPr>
          <w:rFonts w:hint="eastAsia" w:ascii="宋体" w:hAnsi="宋体"/>
          <w:sz w:val="24"/>
        </w:rPr>
        <w:t>《江苏省</w:t>
      </w:r>
      <w:r>
        <w:rPr>
          <w:rFonts w:hint="eastAsia" w:ascii="宋体" w:hAnsi="宋体"/>
          <w:sz w:val="24"/>
          <w:lang w:eastAsia="zh-CN"/>
        </w:rPr>
        <w:t>房屋修缮计价表</w:t>
      </w:r>
      <w:r>
        <w:rPr>
          <w:rFonts w:hint="eastAsia" w:ascii="宋体" w:hAnsi="宋体"/>
          <w:sz w:val="24"/>
        </w:rPr>
        <w:t>》(江苏省住房和城乡建设厅20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r>
        <w:rPr>
          <w:rFonts w:hint="eastAsia" w:ascii="宋体" w:hAnsi="宋体"/>
          <w:sz w:val="24"/>
        </w:rPr>
        <w:t>《江苏省</w:t>
      </w:r>
      <w:r>
        <w:rPr>
          <w:rFonts w:hint="eastAsia" w:ascii="宋体" w:hAnsi="宋体"/>
          <w:sz w:val="24"/>
          <w:lang w:eastAsia="zh-CN"/>
        </w:rPr>
        <w:t>市政</w:t>
      </w:r>
      <w:r>
        <w:rPr>
          <w:rFonts w:hint="eastAsia" w:ascii="宋体" w:hAnsi="宋体"/>
          <w:sz w:val="24"/>
        </w:rPr>
        <w:t>工程计价定额》(江苏省住房和城乡建设厅2014年）</w:t>
      </w:r>
      <w:r>
        <w:rPr>
          <w:rFonts w:hint="eastAsia" w:ascii="宋体" w:hAnsi="宋体" w:cs="宋体"/>
          <w:color w:val="0D0D0D"/>
          <w:kern w:val="0"/>
          <w:sz w:val="24"/>
        </w:rPr>
        <w:t>省、市、县造价管理部门有关现行的计价文件等；</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ascii="宋体" w:hAnsi="宋体" w:cs="宋体"/>
          <w:color w:val="0D0D0D"/>
          <w:kern w:val="0"/>
          <w:sz w:val="24"/>
        </w:rPr>
      </w:pPr>
      <w:r>
        <w:rPr>
          <w:rFonts w:hint="eastAsia" w:ascii="宋体" w:hAnsi="宋体" w:cs="宋体"/>
          <w:color w:val="0D0D0D"/>
          <w:kern w:val="0"/>
          <w:sz w:val="24"/>
          <w:lang w:val="en-US" w:eastAsia="zh-CN"/>
        </w:rPr>
        <w:t>2、</w:t>
      </w:r>
      <w:r>
        <w:rPr>
          <w:rFonts w:hint="eastAsia" w:ascii="宋体" w:hAnsi="宋体" w:cs="宋体"/>
          <w:color w:val="0D0D0D"/>
          <w:kern w:val="0"/>
          <w:sz w:val="24"/>
        </w:rPr>
        <w:t>人工工资单价按苏建函价〔202</w:t>
      </w:r>
      <w:r>
        <w:rPr>
          <w:rFonts w:hint="eastAsia" w:ascii="宋体" w:hAnsi="宋体" w:cs="宋体"/>
          <w:color w:val="0D0D0D"/>
          <w:kern w:val="0"/>
          <w:sz w:val="24"/>
          <w:lang w:val="en-US" w:eastAsia="zh-CN"/>
        </w:rPr>
        <w:t>2</w:t>
      </w:r>
      <w:r>
        <w:rPr>
          <w:rFonts w:hint="eastAsia" w:ascii="宋体" w:hAnsi="宋体" w:cs="宋体"/>
          <w:color w:val="0D0D0D"/>
          <w:kern w:val="0"/>
          <w:sz w:val="24"/>
        </w:rPr>
        <w:t>〕</w:t>
      </w:r>
      <w:r>
        <w:rPr>
          <w:rFonts w:hint="eastAsia" w:ascii="宋体" w:hAnsi="宋体" w:cs="宋体"/>
          <w:color w:val="0D0D0D"/>
          <w:kern w:val="0"/>
          <w:sz w:val="24"/>
          <w:lang w:val="en-US" w:eastAsia="zh-CN"/>
        </w:rPr>
        <w:t>62</w:t>
      </w:r>
      <w:r>
        <w:rPr>
          <w:rFonts w:hint="eastAsia" w:ascii="宋体" w:hAnsi="宋体" w:cs="宋体"/>
          <w:color w:val="0D0D0D"/>
          <w:kern w:val="0"/>
          <w:sz w:val="24"/>
        </w:rPr>
        <w:t>号</w:t>
      </w:r>
      <w:r>
        <w:rPr>
          <w:rFonts w:hint="eastAsia" w:ascii="宋体" w:hAnsi="宋体" w:cs="宋体"/>
          <w:color w:val="0D0D0D"/>
          <w:kern w:val="0"/>
          <w:sz w:val="24"/>
          <w:lang w:val="en-US" w:eastAsia="zh-CN"/>
        </w:rPr>
        <w:t>文</w:t>
      </w:r>
      <w:r>
        <w:rPr>
          <w:rFonts w:hint="eastAsia" w:ascii="宋体" w:hAnsi="宋体" w:cs="宋体"/>
          <w:color w:val="0D0D0D"/>
          <w:kern w:val="0"/>
          <w:sz w:val="24"/>
        </w:rPr>
        <w:t xml:space="preserve">计取； </w:t>
      </w:r>
    </w:p>
    <w:p>
      <w:pPr>
        <w:keepNext w:val="0"/>
        <w:keepLines w:val="0"/>
        <w:pageBreakBefore w:val="0"/>
        <w:widowControl/>
        <w:numPr>
          <w:ilvl w:val="0"/>
          <w:numId w:val="0"/>
        </w:numPr>
        <w:kinsoku/>
        <w:wordWrap/>
        <w:overflowPunct/>
        <w:topLinePunct w:val="0"/>
        <w:bidi w:val="0"/>
        <w:snapToGrid/>
        <w:spacing w:line="360" w:lineRule="auto"/>
        <w:ind w:left="0" w:leftChars="0"/>
        <w:jc w:val="left"/>
        <w:textAlignment w:val="auto"/>
        <w:rPr>
          <w:rFonts w:hint="eastAsia" w:ascii="宋体" w:hAnsi="宋体"/>
          <w:kern w:val="0"/>
          <w:sz w:val="24"/>
        </w:rPr>
      </w:pPr>
      <w:r>
        <w:rPr>
          <w:rFonts w:hint="eastAsia" w:ascii="宋体" w:hAnsi="宋体" w:cs="宋体"/>
          <w:color w:val="0D0D0D"/>
          <w:kern w:val="0"/>
          <w:sz w:val="24"/>
          <w:lang w:val="en-US" w:eastAsia="zh-CN"/>
        </w:rPr>
        <w:t>3、《</w:t>
      </w:r>
      <w:r>
        <w:rPr>
          <w:rFonts w:hint="eastAsia" w:ascii="宋体" w:hAnsi="宋体" w:cs="宋体"/>
          <w:color w:val="0D0D0D"/>
          <w:kern w:val="0"/>
          <w:sz w:val="24"/>
        </w:rPr>
        <w:t>南通市建设工程造价信息》202</w:t>
      </w:r>
      <w:r>
        <w:rPr>
          <w:rFonts w:hint="eastAsia" w:ascii="宋体" w:hAnsi="宋体" w:cs="宋体"/>
          <w:color w:val="0D0D0D"/>
          <w:kern w:val="0"/>
          <w:sz w:val="24"/>
          <w:lang w:val="en-US" w:eastAsia="zh-CN"/>
        </w:rPr>
        <w:t>2</w:t>
      </w:r>
      <w:r>
        <w:rPr>
          <w:rFonts w:hint="eastAsia" w:ascii="宋体" w:hAnsi="宋体" w:cs="宋体"/>
          <w:color w:val="0D0D0D"/>
          <w:kern w:val="0"/>
          <w:sz w:val="24"/>
        </w:rPr>
        <w:t>年</w:t>
      </w:r>
      <w:r>
        <w:rPr>
          <w:rFonts w:hint="eastAsia" w:ascii="宋体" w:hAnsi="宋体" w:cs="宋体"/>
          <w:color w:val="0D0D0D"/>
          <w:kern w:val="0"/>
          <w:sz w:val="24"/>
          <w:lang w:val="en-US" w:eastAsia="zh-CN"/>
        </w:rPr>
        <w:t>4月份信息价</w:t>
      </w:r>
      <w:r>
        <w:rPr>
          <w:rFonts w:hint="eastAsia" w:ascii="宋体" w:hAnsi="宋体" w:cs="宋体"/>
          <w:color w:val="0D0D0D"/>
          <w:kern w:val="0"/>
          <w:sz w:val="24"/>
        </w:rPr>
        <w:t>；市</w:t>
      </w:r>
      <w:r>
        <w:rPr>
          <w:rFonts w:hint="eastAsia" w:ascii="宋体" w:hAnsi="宋体"/>
          <w:color w:val="0D0D0D"/>
          <w:sz w:val="24"/>
        </w:rPr>
        <w:t>场指导价没有的按市场信息价或市场询价；</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textAlignment w:val="auto"/>
        <w:rPr>
          <w:rFonts w:hint="eastAsia" w:ascii="宋体" w:hAnsi="宋体"/>
          <w:color w:val="262626"/>
          <w:sz w:val="24"/>
        </w:rPr>
      </w:pPr>
      <w:r>
        <w:rPr>
          <w:rFonts w:hint="eastAsia" w:ascii="宋体" w:hAnsi="宋体"/>
          <w:color w:val="262626"/>
          <w:sz w:val="24"/>
          <w:lang w:val="en-US" w:eastAsia="zh-CN"/>
        </w:rPr>
        <w:t>4、</w:t>
      </w:r>
      <w:r>
        <w:rPr>
          <w:rFonts w:ascii="宋体" w:hAnsi="宋体"/>
          <w:color w:val="262626"/>
          <w:sz w:val="24"/>
        </w:rPr>
        <w:t>苏建函价〔2019〕178号--省住房城乡建设厅关于调整 建设工程计价增值税税率的通知</w:t>
      </w:r>
      <w:r>
        <w:rPr>
          <w:rFonts w:hint="eastAsia" w:ascii="宋体" w:hAnsi="宋体"/>
          <w:color w:val="0D0D0D"/>
          <w:sz w:val="24"/>
        </w:rPr>
        <w:t>；</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textAlignment w:val="auto"/>
        <w:rPr>
          <w:rFonts w:hint="eastAsia" w:ascii="宋体" w:hAnsi="宋体"/>
          <w:color w:val="262626"/>
          <w:sz w:val="24"/>
        </w:rPr>
      </w:pPr>
      <w:r>
        <w:rPr>
          <w:rFonts w:hint="eastAsia" w:ascii="宋体" w:hAnsi="宋体"/>
          <w:color w:val="262626"/>
          <w:sz w:val="24"/>
          <w:lang w:val="en-US" w:eastAsia="zh-CN"/>
        </w:rPr>
        <w:t>5、</w:t>
      </w:r>
      <w:r>
        <w:rPr>
          <w:rFonts w:hint="eastAsia" w:ascii="宋体" w:hAnsi="宋体"/>
          <w:color w:val="262626"/>
          <w:sz w:val="24"/>
        </w:rPr>
        <w:t>工程类别按</w:t>
      </w:r>
      <w:r>
        <w:rPr>
          <w:rFonts w:hint="eastAsia" w:ascii="宋体" w:hAnsi="宋体"/>
          <w:color w:val="262626"/>
          <w:sz w:val="24"/>
          <w:lang w:val="en-US" w:eastAsia="zh-CN"/>
        </w:rPr>
        <w:t>抗震加固</w:t>
      </w:r>
      <w:r>
        <w:rPr>
          <w:rFonts w:hint="eastAsia" w:ascii="宋体" w:hAnsi="宋体"/>
          <w:color w:val="262626"/>
          <w:sz w:val="24"/>
        </w:rPr>
        <w:t>；</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hint="eastAsia" w:ascii="宋体" w:hAnsi="宋体"/>
          <w:color w:val="0D0D0D"/>
          <w:sz w:val="24"/>
        </w:rPr>
      </w:pPr>
      <w:r>
        <w:rPr>
          <w:rFonts w:hint="eastAsia" w:ascii="宋体" w:hAnsi="宋体"/>
          <w:color w:val="0D0D0D"/>
          <w:sz w:val="24"/>
          <w:lang w:val="en-US" w:eastAsia="zh-CN"/>
        </w:rPr>
        <w:t>6、</w:t>
      </w:r>
      <w:r>
        <w:rPr>
          <w:rFonts w:hint="eastAsia" w:ascii="宋体" w:hAnsi="宋体"/>
          <w:color w:val="0D0D0D"/>
          <w:sz w:val="24"/>
        </w:rPr>
        <w:t>本工程按增值税</w:t>
      </w:r>
      <w:r>
        <w:rPr>
          <w:rFonts w:hint="eastAsia" w:ascii="宋体" w:hAnsi="宋体"/>
          <w:color w:val="0D0D0D"/>
          <w:sz w:val="24"/>
          <w:lang w:val="en-US" w:eastAsia="zh-CN"/>
        </w:rPr>
        <w:t>简易</w:t>
      </w:r>
      <w:r>
        <w:rPr>
          <w:rFonts w:hint="eastAsia" w:ascii="宋体" w:hAnsi="宋体"/>
          <w:color w:val="0D0D0D"/>
          <w:sz w:val="24"/>
        </w:rPr>
        <w:t>计税法考虑。</w:t>
      </w:r>
    </w:p>
    <w:p>
      <w:pPr>
        <w:numPr>
          <w:ilvl w:val="0"/>
          <w:numId w:val="0"/>
        </w:numPr>
        <w:tabs>
          <w:tab w:val="left" w:pos="1080"/>
        </w:tabs>
        <w:spacing w:line="360" w:lineRule="auto"/>
        <w:ind w:leftChars="0"/>
        <w:jc w:val="left"/>
        <w:rPr>
          <w:rFonts w:hint="eastAsia" w:ascii="宋体" w:hAnsi="宋体"/>
          <w:b/>
          <w:color w:val="0D0D0D"/>
          <w:sz w:val="24"/>
        </w:rPr>
      </w:pPr>
      <w:r>
        <w:rPr>
          <w:rFonts w:hint="eastAsia" w:ascii="宋体" w:hAnsi="宋体"/>
          <w:b/>
          <w:color w:val="0D0D0D"/>
          <w:sz w:val="24"/>
          <w:lang w:val="en-US" w:eastAsia="zh-CN"/>
        </w:rPr>
        <w:t>四、</w:t>
      </w:r>
      <w:r>
        <w:rPr>
          <w:rFonts w:hint="eastAsia" w:ascii="宋体" w:hAnsi="宋体"/>
          <w:b/>
          <w:color w:val="0D0D0D"/>
          <w:sz w:val="24"/>
        </w:rPr>
        <w:t>其它说明</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1、清单不能详尽描述项目所有内容，投标人应全面结合招标文件、施工图纸、现场踏勘、清单总说明等报价。</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2、整个工程的垃圾施工单位负责清理、运出施工现场，必须符合环保要求。</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3、工程量清单应与投标须知、合同条件、合同协议条款、技术规范及其组成文件等资料结合起来理解或解释；</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4、分部分项工程量清单中对工程项目的项目特征及具体做法只作重点描述，如出现项目特征未描述详尽的详细情况见施工图设计、技术说明、技术措施费及相关图集。组价时应结合投标人现场踏查情况包括完成所有工序工作内容的全部费用，清单描述不能作为投标人漏项、漏序的借口；</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5、本工程施工过程中如需其他单位配合（或配合其他单位），所需费用由投标人自行综合考虑在报价中，结算时不调整；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、工程质量、材料、施工等的特殊要求: 详见施工图纸；</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、清单特征描述不明确的，按设计要求施工工艺、结合</w:t>
      </w:r>
      <w:r>
        <w:rPr>
          <w:rFonts w:hint="eastAsia" w:ascii="宋体" w:hAnsi="宋体"/>
          <w:sz w:val="24"/>
          <w:lang w:val="en-US" w:eastAsia="zh-CN"/>
        </w:rPr>
        <w:t>现场啥情况</w:t>
      </w:r>
      <w:r>
        <w:rPr>
          <w:rFonts w:hint="eastAsia" w:ascii="宋体" w:hAnsi="宋体"/>
          <w:sz w:val="24"/>
        </w:rPr>
        <w:t>，结算时价格不调整。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、所有材料进场前要得到业主确认，材料颜色的调整，价格不调整。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、本工程拆除残值归</w:t>
      </w:r>
      <w:r>
        <w:rPr>
          <w:rFonts w:hint="eastAsia" w:ascii="宋体" w:hAnsi="宋体"/>
          <w:sz w:val="24"/>
          <w:lang w:val="en-US" w:eastAsia="zh-CN"/>
        </w:rPr>
        <w:t>业主</w:t>
      </w:r>
      <w:r>
        <w:rPr>
          <w:rFonts w:hint="eastAsia" w:ascii="宋体" w:hAnsi="宋体"/>
          <w:sz w:val="24"/>
        </w:rPr>
        <w:t>所有，整个工程的垃圾施工单位负责清理、运出施工现场；垃圾清运中涉及的城市管理费、清运费等所有一切费用施工单位综合考虑到报价中，综合考虑到报价中。</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Theme="minorEastAsia"/>
          <w:sz w:val="24"/>
          <w:lang w:val="en-US" w:eastAsia="zh-CN"/>
        </w:rPr>
      </w:pPr>
      <w:r>
        <w:rPr>
          <w:rFonts w:hint="eastAsia" w:ascii="宋体" w:hAnsi="宋体"/>
          <w:sz w:val="24"/>
          <w:lang w:val="en-US" w:eastAsia="zh-CN"/>
        </w:rPr>
        <w:t>10、</w:t>
      </w:r>
      <w:r>
        <w:rPr>
          <w:rFonts w:hint="eastAsia" w:ascii="宋体" w:hAnsi="宋体"/>
          <w:sz w:val="24"/>
          <w:szCs w:val="24"/>
        </w:rPr>
        <w:t>投标人需认真勘察现场，充分了解其施工环境，工地位置，周边环境及任何其他足以影响承包价及工期的因素，招标人对于现有的施工环境及条件将不增加任何投入，请投标人自行考虑并计入投标报价内</w:t>
      </w:r>
      <w:r>
        <w:rPr>
          <w:rFonts w:hint="eastAsia" w:ascii="宋体" w:hAnsi="宋体"/>
          <w:sz w:val="24"/>
          <w:szCs w:val="24"/>
          <w:lang w:eastAsia="zh-CN"/>
        </w:rPr>
        <w:t>。</w:t>
      </w:r>
    </w:p>
    <w:p>
      <w:pPr>
        <w:pStyle w:val="4"/>
        <w:numPr>
          <w:ilvl w:val="0"/>
          <w:numId w:val="0"/>
        </w:numPr>
        <w:spacing w:line="360" w:lineRule="auto"/>
        <w:ind w:leftChars="0"/>
        <w:jc w:val="left"/>
        <w:rPr>
          <w:rFonts w:hint="eastAsia" w:ascii="宋体" w:hAnsi="宋体"/>
          <w:b/>
          <w:color w:val="0D0D0D"/>
          <w:sz w:val="24"/>
        </w:rPr>
      </w:pPr>
      <w:r>
        <w:rPr>
          <w:rFonts w:hint="eastAsia" w:ascii="宋体" w:hAnsi="宋体"/>
          <w:b/>
          <w:color w:val="0D0D0D"/>
          <w:sz w:val="24"/>
          <w:lang w:val="en-US" w:eastAsia="zh-CN"/>
        </w:rPr>
        <w:t>五、</w:t>
      </w:r>
      <w:r>
        <w:rPr>
          <w:rFonts w:hint="eastAsia" w:ascii="宋体" w:hAnsi="宋体"/>
          <w:b/>
          <w:color w:val="0D0D0D"/>
          <w:sz w:val="24"/>
        </w:rPr>
        <w:t>品牌要求</w:t>
      </w:r>
    </w:p>
    <w:p>
      <w:pPr>
        <w:pStyle w:val="4"/>
        <w:numPr>
          <w:ilvl w:val="0"/>
          <w:numId w:val="3"/>
        </w:numPr>
        <w:spacing w:line="360" w:lineRule="auto"/>
        <w:ind w:firstLineChars="0"/>
        <w:jc w:val="left"/>
        <w:rPr>
          <w:rFonts w:hint="eastAsia" w:ascii="宋体" w:hAnsi="宋体"/>
          <w:sz w:val="24"/>
        </w:rPr>
      </w:pPr>
      <w:r>
        <w:rPr>
          <w:rFonts w:hint="eastAsia" w:ascii="宋体" w:hAnsi="宋体"/>
          <w:sz w:val="24"/>
        </w:rPr>
        <w:t>品牌、参数要求详</w:t>
      </w:r>
      <w:r>
        <w:rPr>
          <w:rFonts w:hint="eastAsia" w:ascii="宋体" w:hAnsi="宋体"/>
          <w:sz w:val="24"/>
          <w:lang w:val="en-US" w:eastAsia="zh-CN"/>
        </w:rPr>
        <w:t>招标文件</w:t>
      </w:r>
    </w:p>
    <w:p>
      <w:pPr>
        <w:spacing w:line="360" w:lineRule="auto"/>
        <w:ind w:firstLine="588" w:firstLineChars="245"/>
        <w:jc w:val="left"/>
        <w:rPr>
          <w:rFonts w:hint="eastAsia" w:ascii="宋体" w:hAnsi="宋体"/>
          <w:sz w:val="24"/>
        </w:rPr>
      </w:pPr>
      <w:r>
        <w:rPr>
          <w:rFonts w:hint="eastAsia" w:ascii="宋体" w:hAnsi="宋体"/>
          <w:sz w:val="24"/>
        </w:rPr>
        <w:t>2、</w:t>
      </w:r>
      <w:r>
        <w:rPr>
          <w:rFonts w:ascii="宋体" w:hAnsi="宋体"/>
          <w:sz w:val="24"/>
        </w:rPr>
        <w:t xml:space="preserve">未标注品牌型号的材料，其品质档次不得低于有品牌型号的材料，施工前必须得到甲方、监理的认可才可以进场。 </w:t>
      </w:r>
    </w:p>
    <w:p>
      <w:pPr>
        <w:numPr>
          <w:ilvl w:val="0"/>
          <w:numId w:val="0"/>
        </w:numPr>
        <w:tabs>
          <w:tab w:val="left" w:pos="1080"/>
        </w:tabs>
        <w:spacing w:line="360" w:lineRule="auto"/>
        <w:ind w:left="555" w:leftChars="0"/>
        <w:jc w:val="left"/>
        <w:rPr>
          <w:rFonts w:hint="eastAsia" w:ascii="宋体" w:hAnsi="宋体"/>
          <w:color w:val="0D0D0D"/>
          <w:sz w:val="24"/>
        </w:rPr>
      </w:pPr>
    </w:p>
    <w:p>
      <w:pPr>
        <w:numPr>
          <w:ilvl w:val="0"/>
          <w:numId w:val="0"/>
        </w:numPr>
        <w:spacing w:line="360" w:lineRule="auto"/>
        <w:rPr>
          <w:rFonts w:hint="default" w:ascii="宋体" w:hAnsi="宋体"/>
          <w:sz w:val="24"/>
          <w:lang w:val="en-US" w:eastAsia="zh-CN"/>
        </w:rPr>
      </w:pPr>
    </w:p>
    <w:p>
      <w:pPr>
        <w:numPr>
          <w:ilvl w:val="0"/>
          <w:numId w:val="0"/>
        </w:numPr>
        <w:spacing w:line="360" w:lineRule="auto"/>
        <w:rPr>
          <w:rFonts w:hint="eastAsia" w:ascii="宋体" w:hAnsi="宋体"/>
          <w:sz w:val="24"/>
          <w:lang w:val="en-US" w:eastAsia="zh-CN"/>
        </w:rPr>
      </w:pPr>
    </w:p>
    <w:p>
      <w:pPr>
        <w:jc w:val="both"/>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C683A"/>
    <w:multiLevelType w:val="multilevel"/>
    <w:tmpl w:val="269C683A"/>
    <w:lvl w:ilvl="0" w:tentative="0">
      <w:start w:val="1"/>
      <w:numFmt w:val="decimal"/>
      <w:lvlText w:val="%1、"/>
      <w:lvlJc w:val="left"/>
      <w:pPr>
        <w:tabs>
          <w:tab w:val="left" w:pos="1288"/>
        </w:tabs>
        <w:ind w:left="0" w:firstLine="568"/>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B36DC9"/>
    <w:multiLevelType w:val="multilevel"/>
    <w:tmpl w:val="31B36DC9"/>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57923296"/>
    <w:multiLevelType w:val="multilevel"/>
    <w:tmpl w:val="57923296"/>
    <w:lvl w:ilvl="0" w:tentative="0">
      <w:start w:val="1"/>
      <w:numFmt w:val="decimal"/>
      <w:lvlText w:val="%1、"/>
      <w:lvlJc w:val="left"/>
      <w:pPr>
        <w:ind w:left="957" w:hanging="39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00000000"/>
    <w:rsid w:val="00B4336A"/>
    <w:rsid w:val="029C7508"/>
    <w:rsid w:val="04F47A08"/>
    <w:rsid w:val="0D8A4FF6"/>
    <w:rsid w:val="0E193F3F"/>
    <w:rsid w:val="189E40BE"/>
    <w:rsid w:val="18B37733"/>
    <w:rsid w:val="29D846A3"/>
    <w:rsid w:val="3DD73475"/>
    <w:rsid w:val="3E0224CB"/>
    <w:rsid w:val="411C6B3A"/>
    <w:rsid w:val="487446A8"/>
    <w:rsid w:val="494E2CEE"/>
    <w:rsid w:val="4A142697"/>
    <w:rsid w:val="4C09509D"/>
    <w:rsid w:val="50730C41"/>
    <w:rsid w:val="56517768"/>
    <w:rsid w:val="5D7E03F1"/>
    <w:rsid w:val="666D7D33"/>
    <w:rsid w:val="66DD0AE7"/>
    <w:rsid w:val="6AA247F5"/>
    <w:rsid w:val="7A586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1196</Words>
  <Characters>1250</Characters>
  <Lines>0</Lines>
  <Paragraphs>0</Paragraphs>
  <TotalTime>0</TotalTime>
  <ScaleCrop>false</ScaleCrop>
  <LinksUpToDate>false</LinksUpToDate>
  <CharactersWithSpaces>1255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2021-04-16T06:04:00Z</cp:lastPrinted>
  <dcterms:modified xsi:type="dcterms:W3CDTF">2022-05-02T07:41:05Z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8C902D1387604C8ABD120620ADBCF677</vt:lpwstr>
  </property>
</Properties>
</file>