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ascii="黑体" w:hAnsi="黑体" w:eastAsia="黑体" w:cs="黑体"/>
          <w:b/>
          <w:color w:val="000000"/>
          <w:sz w:val="36"/>
          <w:szCs w:val="36"/>
        </w:rPr>
      </w:pPr>
      <w:r>
        <w:rPr>
          <w:rFonts w:hint="eastAsia" w:ascii="黑体" w:hAnsi="黑体" w:eastAsia="黑体" w:cs="黑体"/>
          <w:b/>
          <w:color w:val="333333"/>
          <w:kern w:val="0"/>
          <w:sz w:val="36"/>
          <w:szCs w:val="36"/>
        </w:rPr>
        <w:t>《海安市人民医院等离子射频手术系统采购》项</w:t>
      </w:r>
      <w:r>
        <w:rPr>
          <w:rFonts w:hint="eastAsia" w:ascii="黑体" w:hAnsi="黑体" w:eastAsia="黑体" w:cs="黑体"/>
          <w:b/>
          <w:color w:val="000000"/>
          <w:sz w:val="36"/>
          <w:szCs w:val="36"/>
        </w:rPr>
        <w:t>目</w:t>
      </w:r>
    </w:p>
    <w:p>
      <w:pPr>
        <w:widowControl/>
        <w:shd w:val="clear" w:color="auto" w:fill="FFFFFF"/>
        <w:spacing w:line="500" w:lineRule="exact"/>
        <w:jc w:val="center"/>
        <w:rPr>
          <w:rFonts w:ascii="黑体" w:hAnsi="黑体" w:eastAsia="黑体" w:cs="黑体"/>
          <w:b/>
          <w:color w:val="333333"/>
          <w:kern w:val="0"/>
          <w:sz w:val="36"/>
          <w:szCs w:val="36"/>
        </w:rPr>
      </w:pPr>
      <w:r>
        <w:rPr>
          <w:rFonts w:hint="eastAsia" w:ascii="黑体" w:hAnsi="黑体" w:eastAsia="黑体" w:cs="黑体"/>
          <w:b/>
          <w:color w:val="333333"/>
          <w:kern w:val="0"/>
          <w:sz w:val="36"/>
          <w:szCs w:val="36"/>
        </w:rPr>
        <w:t>询价采购文件</w:t>
      </w:r>
    </w:p>
    <w:p>
      <w:pPr>
        <w:widowControl/>
        <w:shd w:val="clear" w:color="auto" w:fill="FFFFFF"/>
        <w:spacing w:line="500" w:lineRule="exact"/>
        <w:ind w:firstLine="281" w:firstLineChars="100"/>
        <w:jc w:val="lef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一、项目概况</w:t>
      </w:r>
    </w:p>
    <w:p>
      <w:pPr>
        <w:widowControl/>
        <w:shd w:val="clear" w:color="auto" w:fill="FFFFFF"/>
        <w:spacing w:line="480" w:lineRule="exact"/>
        <w:ind w:firstLine="280" w:firstLineChars="100"/>
        <w:jc w:val="left"/>
        <w:rPr>
          <w:rFonts w:hint="default" w:ascii="仿宋" w:hAnsi="仿宋" w:cs="宋体" w:eastAsiaTheme="majorEastAsia"/>
          <w:color w:val="333333"/>
          <w:kern w:val="0"/>
          <w:sz w:val="28"/>
          <w:szCs w:val="28"/>
          <w:lang w:val="en-US" w:eastAsia="zh-CN"/>
        </w:rPr>
      </w:pPr>
      <w:r>
        <w:rPr>
          <w:rFonts w:hint="eastAsia" w:ascii="仿宋" w:hAnsi="仿宋" w:eastAsia="仿宋" w:cs="宋体"/>
          <w:color w:val="333333"/>
          <w:kern w:val="0"/>
          <w:sz w:val="28"/>
          <w:szCs w:val="28"/>
        </w:rPr>
        <w:t>1.项目编号：</w:t>
      </w:r>
      <w:r>
        <w:rPr>
          <w:rFonts w:hint="eastAsia" w:asciiTheme="majorEastAsia" w:hAnsiTheme="majorEastAsia" w:eastAsiaTheme="majorEastAsia" w:cstheme="majorEastAsia"/>
          <w:sz w:val="28"/>
          <w:szCs w:val="28"/>
        </w:rPr>
        <w:t>HARY-YXZBK-0</w:t>
      </w:r>
      <w:r>
        <w:rPr>
          <w:rFonts w:hint="eastAsia" w:asciiTheme="majorEastAsia" w:hAnsiTheme="majorEastAsia" w:eastAsiaTheme="majorEastAsia" w:cstheme="majorEastAsia"/>
          <w:sz w:val="28"/>
          <w:szCs w:val="28"/>
          <w:lang w:val="en-US" w:eastAsia="zh-CN"/>
        </w:rPr>
        <w:t>82</w:t>
      </w:r>
    </w:p>
    <w:p>
      <w:pPr>
        <w:widowControl/>
        <w:shd w:val="clear" w:color="auto" w:fill="FFFFFF"/>
        <w:spacing w:line="50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2.项目地点：海安市人民医院</w:t>
      </w:r>
    </w:p>
    <w:p>
      <w:pPr>
        <w:widowControl/>
        <w:shd w:val="clear" w:color="auto" w:fill="FFFFFF"/>
        <w:spacing w:line="50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3.项目内容：等离子射频手术系统一</w:t>
      </w:r>
      <w:r>
        <w:rPr>
          <w:rFonts w:hint="eastAsia" w:ascii="仿宋" w:hAnsi="仿宋" w:eastAsia="仿宋" w:cs="宋体"/>
          <w:color w:val="333333"/>
          <w:kern w:val="0"/>
          <w:sz w:val="28"/>
          <w:szCs w:val="28"/>
          <w:lang w:val="en-US" w:eastAsia="zh-CN"/>
        </w:rPr>
        <w:t>套</w:t>
      </w:r>
      <w:r>
        <w:rPr>
          <w:rFonts w:hint="eastAsia" w:ascii="仿宋" w:hAnsi="仿宋" w:eastAsia="仿宋" w:cs="宋体"/>
          <w:color w:val="333333"/>
          <w:kern w:val="0"/>
          <w:sz w:val="28"/>
          <w:szCs w:val="28"/>
        </w:rPr>
        <w:t>采购</w:t>
      </w:r>
    </w:p>
    <w:p>
      <w:pPr>
        <w:widowControl/>
        <w:shd w:val="clear" w:color="auto" w:fill="FFFFFF"/>
        <w:spacing w:line="480" w:lineRule="exact"/>
        <w:ind w:firstLine="281" w:firstLineChars="100"/>
        <w:jc w:val="left"/>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二、供应商要求</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2.1法定条件</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2.1.1具有独立承担民事责任的能力（提供法人或者其他组织的营业执照）</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2.1.2具有良好的商业信誉和健全的财务会计制度（提供参加本次谈判前的会计报表，必须含资产负债表、利润表等的证明材料）；</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2.1.3具有履行合同所必需的设备和专业技术能力（根据项目需求提供履行合同所必需的设备和专业技术能力的证明材料）；</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2.1.4有依法缴纳税收和社会保障资金、基本养老保险等相关材料，应由税务、社保或银行部门出具（提供上一年度的证明资料）；</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2.1.5参加政府采购活动前三年内，在经营活动中没有重大违法记录的书面声明（提供参加本次开标前三年内在经营活动中没有重大违法记录的书面声明）；</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2.1.6法律、行政法规规定的其他条件（项目实施所必须的许可资质证明材料）。</w:t>
      </w:r>
    </w:p>
    <w:p>
      <w:pPr>
        <w:widowControl/>
        <w:shd w:val="clear" w:color="auto" w:fill="FFFFFF"/>
        <w:spacing w:line="480" w:lineRule="exact"/>
        <w:ind w:firstLine="280" w:firstLineChars="1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2.2 根据采购项目的特殊要求，供应商具备相关经营资质，并提供证明文件。</w:t>
      </w:r>
    </w:p>
    <w:p>
      <w:pPr>
        <w:widowControl/>
        <w:shd w:val="clear" w:color="auto" w:fill="FFFFFF"/>
        <w:spacing w:line="500" w:lineRule="exact"/>
        <w:jc w:val="lef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三、项目具体需求</w:t>
      </w:r>
    </w:p>
    <w:p>
      <w:pPr>
        <w:spacing w:line="500" w:lineRule="exact"/>
        <w:ind w:firstLine="275" w:firstLineChars="98"/>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3.1</w:t>
      </w:r>
      <w:r>
        <w:rPr>
          <w:rFonts w:hint="eastAsia" w:ascii="仿宋" w:hAnsi="仿宋" w:eastAsia="仿宋" w:cs="宋体"/>
          <w:color w:val="333333"/>
          <w:kern w:val="0"/>
          <w:sz w:val="28"/>
          <w:szCs w:val="28"/>
        </w:rPr>
        <w:t>本项目采用询价采购，按照技术规格、质量、服务等方面相同的条件下，价格最低者确定为供应商。（项目报价单详见附件1）</w:t>
      </w:r>
    </w:p>
    <w:p>
      <w:pPr>
        <w:snapToGrid w:val="0"/>
        <w:spacing w:line="300" w:lineRule="auto"/>
        <w:ind w:firstLine="280" w:firstLineChars="100"/>
        <w:contextualSpacing/>
        <w:rPr>
          <w:rFonts w:ascii="仿宋" w:hAnsi="仿宋" w:eastAsia="仿宋" w:cs="宋体"/>
          <w:color w:val="333333"/>
          <w:kern w:val="0"/>
          <w:sz w:val="28"/>
          <w:szCs w:val="28"/>
        </w:rPr>
      </w:pPr>
    </w:p>
    <w:p>
      <w:pPr>
        <w:snapToGrid w:val="0"/>
        <w:spacing w:line="300" w:lineRule="auto"/>
        <w:ind w:firstLine="281" w:firstLineChars="100"/>
        <w:contextualSpacing/>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3.2采购标的的数量：</w:t>
      </w:r>
    </w:p>
    <w:p>
      <w:pPr>
        <w:spacing w:line="400" w:lineRule="exact"/>
        <w:ind w:left="140"/>
        <w:rPr>
          <w:rFonts w:ascii="仿宋_GB2312" w:hAnsi="仿宋_GB2312" w:eastAsia="仿宋_GB2312" w:cs="仿宋_GB2312"/>
          <w:sz w:val="32"/>
          <w:szCs w:val="32"/>
        </w:rPr>
      </w:pPr>
    </w:p>
    <w:tbl>
      <w:tblPr>
        <w:tblStyle w:val="8"/>
        <w:tblW w:w="7147" w:type="dxa"/>
        <w:tblCellSpacing w:w="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67"/>
        <w:gridCol w:w="2745"/>
        <w:gridCol w:w="1320"/>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 w:hRule="atLeast"/>
          <w:tblCellSpacing w:w="0" w:type="dxa"/>
        </w:trPr>
        <w:tc>
          <w:tcPr>
            <w:tcW w:w="967" w:type="dxa"/>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序号</w:t>
            </w:r>
          </w:p>
        </w:tc>
        <w:tc>
          <w:tcPr>
            <w:tcW w:w="2745" w:type="dxa"/>
            <w:vAlign w:val="center"/>
          </w:tcPr>
          <w:p>
            <w:pPr>
              <w:widowControl/>
              <w:spacing w:line="360" w:lineRule="auto"/>
              <w:jc w:val="center"/>
              <w:rPr>
                <w:rFonts w:ascii="仿宋" w:hAnsi="仿宋" w:eastAsia="仿宋" w:cs="宋体"/>
                <w:color w:val="000000"/>
                <w:kern w:val="0"/>
                <w:sz w:val="24"/>
              </w:rPr>
            </w:pPr>
            <w:r>
              <w:rPr>
                <w:rFonts w:ascii="仿宋" w:hAnsi="仿宋" w:eastAsia="仿宋" w:cs="宋体"/>
                <w:color w:val="000000"/>
                <w:kern w:val="0"/>
                <w:sz w:val="24"/>
              </w:rPr>
              <w:t>产品名称</w:t>
            </w:r>
          </w:p>
        </w:tc>
        <w:tc>
          <w:tcPr>
            <w:tcW w:w="1320" w:type="dxa"/>
            <w:vAlign w:val="center"/>
          </w:tcPr>
          <w:p>
            <w:pPr>
              <w:widowControl/>
              <w:spacing w:line="360" w:lineRule="auto"/>
              <w:jc w:val="center"/>
              <w:rPr>
                <w:rFonts w:ascii="仿宋" w:hAnsi="仿宋" w:eastAsia="仿宋" w:cs="宋体"/>
                <w:color w:val="000000"/>
                <w:kern w:val="0"/>
                <w:sz w:val="24"/>
              </w:rPr>
            </w:pPr>
            <w:r>
              <w:rPr>
                <w:rFonts w:ascii="仿宋" w:hAnsi="仿宋" w:eastAsia="仿宋" w:cs="宋体"/>
                <w:color w:val="000000"/>
                <w:kern w:val="0"/>
                <w:sz w:val="24"/>
              </w:rPr>
              <w:t>数量</w:t>
            </w:r>
          </w:p>
        </w:tc>
        <w:tc>
          <w:tcPr>
            <w:tcW w:w="2115" w:type="dxa"/>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预算价（元）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2" w:hRule="atLeast"/>
          <w:tblCellSpacing w:w="0" w:type="dxa"/>
        </w:trPr>
        <w:tc>
          <w:tcPr>
            <w:tcW w:w="967" w:type="dxa"/>
            <w:vAlign w:val="center"/>
          </w:tcPr>
          <w:p>
            <w:pPr>
              <w:widowControl/>
              <w:spacing w:line="360" w:lineRule="auto"/>
              <w:jc w:val="center"/>
              <w:rPr>
                <w:rFonts w:ascii="仿宋" w:hAnsi="仿宋" w:eastAsia="仿宋" w:cs="宋体"/>
                <w:b/>
                <w:bCs/>
                <w:color w:val="000000"/>
                <w:kern w:val="0"/>
                <w:sz w:val="24"/>
              </w:rPr>
            </w:pPr>
            <w:r>
              <w:rPr>
                <w:rFonts w:hint="eastAsia" w:ascii="仿宋" w:hAnsi="仿宋" w:eastAsia="仿宋" w:cs="宋体"/>
                <w:b/>
                <w:bCs/>
                <w:color w:val="000000"/>
                <w:kern w:val="0"/>
                <w:sz w:val="24"/>
              </w:rPr>
              <w:t>1</w:t>
            </w:r>
          </w:p>
        </w:tc>
        <w:tc>
          <w:tcPr>
            <w:tcW w:w="2745" w:type="dxa"/>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等离子射频手术系统</w:t>
            </w:r>
          </w:p>
        </w:tc>
        <w:tc>
          <w:tcPr>
            <w:tcW w:w="1320" w:type="dxa"/>
            <w:vAlign w:val="center"/>
          </w:tcPr>
          <w:p>
            <w:pPr>
              <w:widowControl/>
              <w:spacing w:line="360" w:lineRule="auto"/>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rPr>
              <w:t>1</w:t>
            </w:r>
            <w:r>
              <w:rPr>
                <w:rFonts w:hint="eastAsia" w:ascii="仿宋" w:hAnsi="仿宋" w:eastAsia="仿宋" w:cs="宋体"/>
                <w:color w:val="000000"/>
                <w:kern w:val="0"/>
                <w:sz w:val="24"/>
                <w:lang w:val="en-US" w:eastAsia="zh-CN"/>
              </w:rPr>
              <w:t>套</w:t>
            </w:r>
          </w:p>
        </w:tc>
        <w:tc>
          <w:tcPr>
            <w:tcW w:w="2115" w:type="dxa"/>
            <w:vAlign w:val="center"/>
          </w:tcPr>
          <w:p>
            <w:pPr>
              <w:widowControl/>
              <w:spacing w:line="360" w:lineRule="auto"/>
              <w:jc w:val="center"/>
              <w:rPr>
                <w:rFonts w:ascii="仿宋" w:hAnsi="仿宋" w:eastAsia="仿宋" w:cs="宋体"/>
                <w:color w:val="000000"/>
                <w:kern w:val="0"/>
                <w:sz w:val="24"/>
              </w:rPr>
            </w:pPr>
            <w:r>
              <w:rPr>
                <w:rFonts w:hint="eastAsia" w:ascii="仿宋" w:hAnsi="仿宋" w:eastAsia="仿宋" w:cs="宋体"/>
                <w:color w:val="000000"/>
                <w:kern w:val="0"/>
                <w:sz w:val="24"/>
              </w:rPr>
              <w:t>200000</w:t>
            </w:r>
          </w:p>
        </w:tc>
      </w:tr>
    </w:tbl>
    <w:p>
      <w:pPr>
        <w:spacing w:line="500" w:lineRule="exact"/>
        <w:ind w:firstLine="315" w:firstLineChars="98"/>
        <w:rPr>
          <w:rFonts w:ascii="仿宋_GB2312" w:hAnsi="仿宋_GB2312" w:eastAsia="仿宋_GB2312" w:cs="仿宋_GB2312"/>
          <w:b/>
          <w:bCs/>
          <w:sz w:val="32"/>
          <w:szCs w:val="32"/>
        </w:rPr>
      </w:pPr>
    </w:p>
    <w:p>
      <w:pPr>
        <w:snapToGrid w:val="0"/>
        <w:spacing w:line="300" w:lineRule="auto"/>
        <w:ind w:firstLine="281" w:firstLineChars="100"/>
        <w:contextualSpacing/>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3.3采购标的的技术规格：</w:t>
      </w:r>
    </w:p>
    <w:p>
      <w:pPr>
        <w:spacing w:line="440" w:lineRule="exact"/>
        <w:rPr>
          <w:rFonts w:hint="eastAsia" w:ascii="新宋体" w:hAnsi="新宋体" w:eastAsia="新宋体" w:cs="新宋体"/>
          <w:b/>
          <w:szCs w:val="21"/>
        </w:rPr>
      </w:pPr>
      <w:r>
        <w:rPr>
          <w:rFonts w:hint="eastAsia" w:ascii="新宋体" w:hAnsi="新宋体" w:eastAsia="新宋体" w:cs="新宋体"/>
          <w:b/>
          <w:bCs/>
          <w:szCs w:val="21"/>
        </w:rPr>
        <w:t xml:space="preserve">一.整机性能参数 </w:t>
      </w:r>
    </w:p>
    <w:p>
      <w:pPr>
        <w:tabs>
          <w:tab w:val="left" w:pos="7095"/>
        </w:tabs>
        <w:spacing w:line="440" w:lineRule="exact"/>
        <w:rPr>
          <w:rFonts w:ascii="新宋体" w:hAnsi="新宋体" w:eastAsia="新宋体" w:cs="新宋体"/>
          <w:szCs w:val="21"/>
        </w:rPr>
      </w:pPr>
      <w:r>
        <w:rPr>
          <w:rFonts w:hint="eastAsia" w:ascii="新宋体" w:hAnsi="新宋体" w:eastAsia="新宋体" w:cs="新宋体"/>
          <w:szCs w:val="21"/>
        </w:rPr>
        <w:t>1．主机界面采用一体化全触屏式智能操作，7.0英寸LED液晶显示屏。</w:t>
      </w:r>
    </w:p>
    <w:p>
      <w:pPr>
        <w:tabs>
          <w:tab w:val="left" w:pos="7095"/>
        </w:tabs>
        <w:spacing w:line="440" w:lineRule="exact"/>
        <w:rPr>
          <w:rFonts w:hint="eastAsia" w:ascii="新宋体" w:hAnsi="新宋体" w:eastAsia="新宋体" w:cs="新宋体"/>
          <w:szCs w:val="21"/>
        </w:rPr>
      </w:pPr>
      <w:r>
        <w:rPr>
          <w:rFonts w:hint="eastAsia" w:ascii="新宋体" w:hAnsi="新宋体" w:eastAsia="新宋体" w:cs="新宋体"/>
          <w:szCs w:val="21"/>
        </w:rPr>
        <w:t>2．触屏界面同时具有：汽化切割、消融凝血、消融定时；功率≤300W. 工作档位1-9档可调，同时每一档位具有半档功率可操作。时间从0-9秒可调，0档不计时。</w:t>
      </w:r>
    </w:p>
    <w:p>
      <w:pPr>
        <w:tabs>
          <w:tab w:val="left" w:pos="7095"/>
        </w:tabs>
        <w:spacing w:line="440" w:lineRule="exact"/>
        <w:rPr>
          <w:rFonts w:ascii="新宋体" w:hAnsi="新宋体" w:eastAsia="新宋体" w:cs="新宋体"/>
          <w:szCs w:val="21"/>
        </w:rPr>
      </w:pPr>
      <w:r>
        <w:rPr>
          <w:rFonts w:hint="eastAsia" w:ascii="新宋体" w:hAnsi="新宋体" w:eastAsia="新宋体" w:cs="新宋体"/>
          <w:szCs w:val="21"/>
        </w:rPr>
        <w:t>3．主机工作时可在界面精准显示临床所需工作能量大小；为使手术效果更精准主机需具备2种工作频率：汽化切割输出频率</w:t>
      </w:r>
      <w:r>
        <w:rPr>
          <w:rFonts w:ascii="Arial" w:hAnsi="Arial" w:eastAsia="新宋体" w:cs="Arial"/>
          <w:szCs w:val="21"/>
        </w:rPr>
        <w:t>≥</w:t>
      </w:r>
      <w:r>
        <w:rPr>
          <w:rFonts w:hint="eastAsia" w:ascii="新宋体" w:hAnsi="新宋体" w:eastAsia="新宋体" w:cs="新宋体"/>
          <w:szCs w:val="21"/>
        </w:rPr>
        <w:t>100KHz；凝血消融输出频率</w:t>
      </w:r>
      <w:r>
        <w:rPr>
          <w:rFonts w:ascii="Arial" w:hAnsi="Arial" w:eastAsia="新宋体" w:cs="Arial"/>
          <w:szCs w:val="21"/>
        </w:rPr>
        <w:t>≥</w:t>
      </w:r>
      <w:r>
        <w:rPr>
          <w:rFonts w:hint="eastAsia" w:ascii="新宋体" w:hAnsi="新宋体" w:eastAsia="新宋体" w:cs="新宋体"/>
          <w:szCs w:val="21"/>
        </w:rPr>
        <w:t>450KHz。</w:t>
      </w:r>
    </w:p>
    <w:p>
      <w:pPr>
        <w:spacing w:line="440" w:lineRule="exact"/>
        <w:rPr>
          <w:rFonts w:hint="eastAsia" w:ascii="新宋体" w:hAnsi="新宋体" w:eastAsia="新宋体" w:cs="新宋体"/>
          <w:szCs w:val="21"/>
        </w:rPr>
      </w:pPr>
      <w:r>
        <w:rPr>
          <w:rFonts w:hint="eastAsia" w:ascii="新宋体" w:hAnsi="新宋体" w:eastAsia="新宋体" w:cs="新宋体"/>
          <w:szCs w:val="21"/>
        </w:rPr>
        <w:t>4．主机采用全智能数字控制电路，具备以下功能：</w:t>
      </w:r>
    </w:p>
    <w:p>
      <w:pPr>
        <w:tabs>
          <w:tab w:val="center" w:pos="4819"/>
        </w:tabs>
        <w:spacing w:line="440" w:lineRule="exact"/>
        <w:ind w:firstLine="420" w:firstLineChars="200"/>
        <w:rPr>
          <w:rFonts w:hint="eastAsia" w:ascii="新宋体" w:hAnsi="新宋体" w:eastAsia="新宋体" w:cs="新宋体"/>
          <w:szCs w:val="21"/>
        </w:rPr>
      </w:pPr>
      <w:r>
        <w:rPr>
          <w:rFonts w:hint="eastAsia" w:ascii="宋体" w:hAnsi="宋体" w:cs="新宋体"/>
          <w:szCs w:val="21"/>
        </w:rPr>
        <w:t>①</w:t>
      </w:r>
      <w:r>
        <w:rPr>
          <w:rFonts w:hint="eastAsia" w:ascii="新宋体" w:hAnsi="新宋体" w:eastAsia="新宋体" w:cs="新宋体"/>
          <w:szCs w:val="21"/>
        </w:rPr>
        <w:t>主机工作可显示工作能量输出状态。</w:t>
      </w:r>
      <w:r>
        <w:rPr>
          <w:rFonts w:hint="eastAsia" w:ascii="新宋体" w:hAnsi="新宋体" w:eastAsia="新宋体" w:cs="新宋体"/>
          <w:szCs w:val="21"/>
        </w:rPr>
        <w:tab/>
      </w:r>
    </w:p>
    <w:p>
      <w:pPr>
        <w:tabs>
          <w:tab w:val="left" w:pos="142"/>
        </w:tabs>
        <w:spacing w:line="440" w:lineRule="exact"/>
        <w:ind w:firstLine="420" w:firstLineChars="200"/>
        <w:rPr>
          <w:rFonts w:hint="eastAsia" w:ascii="新宋体" w:hAnsi="新宋体" w:eastAsia="新宋体" w:cs="新宋体"/>
          <w:szCs w:val="21"/>
        </w:rPr>
      </w:pPr>
      <w:r>
        <w:rPr>
          <w:rFonts w:hint="eastAsia" w:ascii="宋体" w:hAnsi="宋体" w:cs="新宋体"/>
          <w:szCs w:val="21"/>
        </w:rPr>
        <w:t>②</w:t>
      </w:r>
      <w:r>
        <w:rPr>
          <w:rFonts w:hint="eastAsia" w:ascii="新宋体" w:hAnsi="新宋体" w:eastAsia="新宋体" w:cs="新宋体"/>
          <w:szCs w:val="21"/>
        </w:rPr>
        <w:t>消融全时实施数字智能化程序控制，如果消融达到最佳状态时，主机能通过三极消融刀头反馈负载的消融信息并自动调整阻抗和能量的输出，防止过度治疗和温度上升。</w:t>
      </w:r>
    </w:p>
    <w:p>
      <w:pPr>
        <w:pStyle w:val="3"/>
        <w:spacing w:line="440" w:lineRule="exact"/>
        <w:ind w:left="0" w:firstLine="420" w:firstLineChars="200"/>
        <w:rPr>
          <w:rFonts w:hint="eastAsia" w:ascii="新宋体" w:hAnsi="新宋体" w:eastAsia="新宋体" w:cs="新宋体"/>
          <w:sz w:val="21"/>
          <w:szCs w:val="21"/>
        </w:rPr>
      </w:pPr>
      <w:r>
        <w:rPr>
          <w:rFonts w:hint="eastAsia" w:ascii="宋体" w:hAnsi="宋体" w:eastAsia="新宋体" w:cs="新宋体"/>
          <w:sz w:val="21"/>
          <w:szCs w:val="21"/>
        </w:rPr>
        <w:sym w:font="Wingdings" w:char="F083"/>
      </w:r>
      <w:r>
        <w:rPr>
          <w:rFonts w:hint="eastAsia" w:ascii="新宋体" w:hAnsi="新宋体" w:eastAsia="新宋体" w:cs="新宋体"/>
          <w:sz w:val="21"/>
          <w:szCs w:val="21"/>
        </w:rPr>
        <w:t>根据肥厚组织的特征设计了档位功率深度程控技术,保证了各部位肥厚性组织得到一次性更好的消融治疗, 减少了病人的重复治疗的痛苦和费用。</w:t>
      </w:r>
    </w:p>
    <w:p>
      <w:pPr>
        <w:spacing w:line="440" w:lineRule="exact"/>
        <w:ind w:firstLine="420" w:firstLineChars="200"/>
        <w:rPr>
          <w:rFonts w:hint="eastAsia" w:ascii="新宋体" w:hAnsi="新宋体" w:eastAsia="新宋体" w:cs="新宋体"/>
          <w:szCs w:val="21"/>
        </w:rPr>
      </w:pPr>
      <w:r>
        <w:rPr>
          <w:rFonts w:hint="eastAsia" w:ascii="宋体" w:hAnsi="宋体" w:cs="新宋体"/>
          <w:szCs w:val="21"/>
        </w:rPr>
        <w:t>④</w:t>
      </w:r>
      <w:r>
        <w:rPr>
          <w:rFonts w:hint="eastAsia" w:ascii="新宋体" w:hAnsi="新宋体" w:eastAsia="新宋体" w:cs="新宋体"/>
          <w:szCs w:val="21"/>
        </w:rPr>
        <w:t>能自动识别三种组织结构：血液、粘膜组织、间质组织、盐水，并输出相应的波形和能量，凝血使用脉冲波有效的防止组织粘连和渗透并形成≤30dmm的凝固层； 粘膜治疗采用了强力波快速瘢痕收缩形成阻抗不深透肌层, 间质消融适用柔和间断波能均匀的扩散渗透和防止粘连。达到最快、最安全的治疗。</w:t>
      </w:r>
    </w:p>
    <w:p>
      <w:pPr>
        <w:tabs>
          <w:tab w:val="left" w:pos="630"/>
        </w:tabs>
        <w:spacing w:line="440" w:lineRule="exact"/>
        <w:ind w:firstLine="420" w:firstLineChars="200"/>
        <w:rPr>
          <w:rFonts w:hint="eastAsia" w:ascii="新宋体" w:hAnsi="新宋体" w:eastAsia="新宋体" w:cs="新宋体"/>
          <w:szCs w:val="21"/>
        </w:rPr>
      </w:pPr>
      <w:r>
        <w:rPr>
          <w:rFonts w:hint="eastAsia" w:ascii="宋体" w:hAnsi="宋体" w:cs="宋体"/>
          <w:szCs w:val="21"/>
        </w:rPr>
        <w:t>⑤</w:t>
      </w:r>
      <w:r>
        <w:rPr>
          <w:rFonts w:hint="eastAsia" w:ascii="新宋体" w:hAnsi="新宋体" w:eastAsia="新宋体" w:cs="新宋体"/>
          <w:szCs w:val="21"/>
        </w:rPr>
        <w:t>具有各种手术刀头识别和保护功能、根据插入刀头的不同自动输出不同的功率和时间，不用频繁调节功率和时间，使操作更加方便、快捷、安全。</w:t>
      </w:r>
    </w:p>
    <w:p>
      <w:pPr>
        <w:adjustRightInd w:val="0"/>
        <w:spacing w:line="440" w:lineRule="exact"/>
        <w:rPr>
          <w:rFonts w:hint="eastAsia" w:ascii="新宋体" w:hAnsi="新宋体" w:eastAsia="新宋体" w:cs="新宋体"/>
          <w:szCs w:val="21"/>
        </w:rPr>
      </w:pPr>
      <w:r>
        <w:rPr>
          <w:rFonts w:hint="eastAsia" w:ascii="新宋体" w:hAnsi="新宋体" w:eastAsia="新宋体" w:cs="新宋体"/>
          <w:szCs w:val="21"/>
        </w:rPr>
        <w:t>5．使用高压反侦测数字技术，用软件可以控制硬件电路中1UA的漏电流对应到消融档位，保证消融安全范围和远期的治疗彻底。</w:t>
      </w:r>
    </w:p>
    <w:p>
      <w:pPr>
        <w:adjustRightInd w:val="0"/>
        <w:spacing w:line="440" w:lineRule="exact"/>
        <w:rPr>
          <w:rFonts w:hint="eastAsia" w:ascii="新宋体" w:hAnsi="新宋体" w:eastAsia="新宋体" w:cs="新宋体"/>
          <w:b/>
          <w:bCs/>
          <w:szCs w:val="21"/>
        </w:rPr>
      </w:pPr>
      <w:r>
        <w:rPr>
          <w:sz w:val="28"/>
          <w:szCs w:val="28"/>
        </w:rPr>
        <w:t>*</w:t>
      </w:r>
      <w:r>
        <w:rPr>
          <w:rFonts w:hint="eastAsia" w:ascii="新宋体" w:hAnsi="新宋体" w:eastAsia="新宋体" w:cs="新宋体"/>
          <w:b/>
          <w:bCs/>
          <w:szCs w:val="21"/>
        </w:rPr>
        <w:t>6</w:t>
      </w:r>
      <w:r>
        <w:rPr>
          <w:rFonts w:hint="eastAsia" w:ascii="新宋体" w:hAnsi="新宋体" w:eastAsia="新宋体" w:cs="新宋体"/>
          <w:szCs w:val="21"/>
        </w:rPr>
        <w:t>．</w:t>
      </w:r>
      <w:r>
        <w:rPr>
          <w:rFonts w:hint="eastAsia" w:ascii="新宋体" w:hAnsi="新宋体" w:eastAsia="新宋体" w:cs="新宋体"/>
          <w:b/>
          <w:bCs/>
          <w:szCs w:val="21"/>
        </w:rPr>
        <w:t>具有自动检测刀头和附件连接功能。</w:t>
      </w:r>
    </w:p>
    <w:p>
      <w:pPr>
        <w:adjustRightInd w:val="0"/>
        <w:spacing w:line="440" w:lineRule="exact"/>
        <w:rPr>
          <w:rFonts w:hint="eastAsia" w:ascii="新宋体" w:hAnsi="新宋体" w:eastAsia="新宋体" w:cs="新宋体"/>
          <w:b/>
          <w:bCs/>
          <w:szCs w:val="21"/>
        </w:rPr>
      </w:pPr>
      <w:r>
        <w:rPr>
          <w:sz w:val="28"/>
          <w:szCs w:val="28"/>
        </w:rPr>
        <w:t>*</w:t>
      </w:r>
      <w:r>
        <w:rPr>
          <w:rFonts w:hint="eastAsia" w:ascii="新宋体" w:hAnsi="新宋体" w:eastAsia="新宋体" w:cs="新宋体"/>
          <w:b/>
          <w:bCs/>
          <w:szCs w:val="21"/>
        </w:rPr>
        <w:t>7</w:t>
      </w:r>
      <w:r>
        <w:rPr>
          <w:rFonts w:hint="eastAsia" w:ascii="新宋体" w:hAnsi="新宋体" w:eastAsia="新宋体" w:cs="新宋体"/>
          <w:szCs w:val="21"/>
        </w:rPr>
        <w:t>．</w:t>
      </w:r>
      <w:r>
        <w:rPr>
          <w:rFonts w:hint="eastAsia" w:ascii="新宋体" w:hAnsi="新宋体" w:eastAsia="新宋体" w:cs="新宋体"/>
          <w:b/>
          <w:bCs/>
          <w:szCs w:val="21"/>
        </w:rPr>
        <w:t>具有故障自动检测显示和报警声音提示。</w:t>
      </w:r>
    </w:p>
    <w:p>
      <w:pPr>
        <w:adjustRightInd w:val="0"/>
        <w:spacing w:line="440" w:lineRule="exact"/>
        <w:rPr>
          <w:rFonts w:hint="eastAsia" w:ascii="新宋体" w:hAnsi="新宋体" w:eastAsia="新宋体" w:cs="新宋体"/>
          <w:szCs w:val="21"/>
        </w:rPr>
      </w:pPr>
      <w:r>
        <w:rPr>
          <w:rFonts w:hint="eastAsia" w:ascii="新宋体" w:hAnsi="新宋体" w:eastAsia="新宋体" w:cs="新宋体"/>
          <w:szCs w:val="21"/>
        </w:rPr>
        <w:t>8．使用双脚踏控制</w:t>
      </w:r>
    </w:p>
    <w:p>
      <w:pPr>
        <w:spacing w:line="440" w:lineRule="exact"/>
        <w:rPr>
          <w:rFonts w:hint="eastAsia" w:ascii="新宋体" w:hAnsi="新宋体" w:eastAsia="新宋体" w:cs="新宋体"/>
          <w:szCs w:val="21"/>
        </w:rPr>
      </w:pPr>
      <w:r>
        <w:rPr>
          <w:rFonts w:hint="eastAsia" w:ascii="新宋体" w:hAnsi="新宋体" w:eastAsia="新宋体" w:cs="新宋体"/>
          <w:szCs w:val="21"/>
        </w:rPr>
        <w:t>9．治疗温度</w:t>
      </w:r>
    </w:p>
    <w:p>
      <w:pPr>
        <w:spacing w:line="440" w:lineRule="exact"/>
        <w:ind w:left="315" w:leftChars="150"/>
        <w:rPr>
          <w:rFonts w:hint="eastAsia" w:ascii="宋体" w:hAnsi="宋体" w:cs="新宋体"/>
          <w:szCs w:val="21"/>
        </w:rPr>
      </w:pPr>
      <w:r>
        <w:rPr>
          <w:rFonts w:hint="eastAsia" w:ascii="新宋体" w:hAnsi="新宋体" w:eastAsia="新宋体" w:cs="新宋体"/>
          <w:szCs w:val="21"/>
        </w:rPr>
        <w:t>低温微创、安全、精确，40-70℃范围内完成汽化、打孔、消融和止血三大功能。 消融温度：40～53℃，</w:t>
      </w:r>
      <w:r>
        <w:rPr>
          <w:rFonts w:hint="eastAsia" w:ascii="宋体" w:hAnsi="宋体" w:cs="新宋体"/>
          <w:szCs w:val="21"/>
        </w:rPr>
        <w:t>止血温度：40～58℃，切割温度：40～70℃</w:t>
      </w:r>
    </w:p>
    <w:p>
      <w:pPr>
        <w:spacing w:line="440" w:lineRule="exact"/>
        <w:rPr>
          <w:rFonts w:hint="eastAsia" w:ascii="宋体" w:hAnsi="宋体" w:cs="新宋体"/>
          <w:szCs w:val="21"/>
        </w:rPr>
      </w:pPr>
      <w:r>
        <w:rPr>
          <w:rFonts w:hint="eastAsia" w:ascii="宋体" w:hAnsi="宋体" w:cs="新宋体"/>
          <w:szCs w:val="21"/>
        </w:rPr>
        <w:t>10．主机尺寸：411</w:t>
      </w:r>
      <w:r>
        <w:rPr>
          <w:rFonts w:ascii="宋体" w:hAnsi="宋体" w:cs="Arial"/>
          <w:szCs w:val="21"/>
        </w:rPr>
        <w:t>×</w:t>
      </w:r>
      <w:r>
        <w:rPr>
          <w:rFonts w:hint="eastAsia" w:ascii="宋体" w:hAnsi="宋体" w:cs="新宋体"/>
          <w:szCs w:val="21"/>
        </w:rPr>
        <w:t>405</w:t>
      </w:r>
      <w:r>
        <w:rPr>
          <w:rFonts w:ascii="宋体" w:hAnsi="宋体" w:cs="Arial"/>
          <w:szCs w:val="21"/>
        </w:rPr>
        <w:t>×</w:t>
      </w:r>
      <w:r>
        <w:rPr>
          <w:rFonts w:hint="eastAsia" w:ascii="宋体" w:hAnsi="宋体" w:cs="新宋体"/>
          <w:szCs w:val="21"/>
        </w:rPr>
        <w:t>148mm.</w:t>
      </w:r>
    </w:p>
    <w:p>
      <w:pPr>
        <w:spacing w:line="440" w:lineRule="exact"/>
        <w:rPr>
          <w:rFonts w:ascii="宋体" w:hAnsi="宋体" w:cs="新宋体"/>
          <w:szCs w:val="21"/>
        </w:rPr>
      </w:pPr>
      <w:r>
        <w:rPr>
          <w:rFonts w:hint="eastAsia" w:ascii="宋体" w:hAnsi="宋体" w:cs="宋体"/>
          <w:szCs w:val="21"/>
        </w:rPr>
        <w:t>11</w:t>
      </w:r>
      <w:r>
        <w:rPr>
          <w:rFonts w:hint="eastAsia" w:ascii="宋体" w:hAnsi="宋体" w:cs="新宋体"/>
          <w:szCs w:val="21"/>
        </w:rPr>
        <w:t>．</w:t>
      </w:r>
      <w:r>
        <w:rPr>
          <w:rFonts w:hint="eastAsia" w:ascii="宋体" w:hAnsi="宋体" w:cs="宋体"/>
          <w:szCs w:val="21"/>
        </w:rPr>
        <w:t>电击防护：I类，BF型</w:t>
      </w:r>
    </w:p>
    <w:p>
      <w:pPr>
        <w:spacing w:line="440" w:lineRule="exact"/>
        <w:rPr>
          <w:rFonts w:hint="eastAsia" w:ascii="新宋体" w:hAnsi="新宋体" w:eastAsia="新宋体" w:cs="新宋体"/>
          <w:szCs w:val="21"/>
        </w:rPr>
      </w:pPr>
      <w:r>
        <w:rPr>
          <w:rFonts w:hint="eastAsia" w:ascii="新宋体" w:hAnsi="新宋体" w:eastAsia="新宋体" w:cs="新宋体"/>
          <w:b/>
          <w:bCs/>
          <w:szCs w:val="21"/>
        </w:rPr>
        <w:t>二．等离子体手术刀头（射频电极/消融电极）性能参数</w:t>
      </w:r>
    </w:p>
    <w:p>
      <w:pPr>
        <w:adjustRightInd w:val="0"/>
        <w:snapToGrid w:val="0"/>
        <w:spacing w:line="460" w:lineRule="exact"/>
        <w:ind w:firstLine="210" w:firstLineChars="100"/>
        <w:rPr>
          <w:rFonts w:hint="eastAsia" w:ascii="宋体" w:hAnsi="宋体"/>
          <w:szCs w:val="21"/>
        </w:rPr>
      </w:pPr>
      <w:r>
        <w:rPr>
          <w:rFonts w:hint="eastAsia" w:ascii="宋体" w:hAnsi="宋体"/>
          <w:szCs w:val="21"/>
        </w:rPr>
        <w:t>1．刀头有单独的注册证，注册证名称为：等离子体手术刀头（射频电极/消融电极）。</w:t>
      </w:r>
    </w:p>
    <w:p>
      <w:pPr>
        <w:adjustRightInd w:val="0"/>
        <w:snapToGrid w:val="0"/>
        <w:spacing w:line="460" w:lineRule="exact"/>
        <w:ind w:firstLine="210" w:firstLineChars="100"/>
        <w:rPr>
          <w:rFonts w:hint="eastAsia" w:ascii="宋体" w:hAnsi="宋体"/>
          <w:szCs w:val="21"/>
        </w:rPr>
      </w:pPr>
      <w:r>
        <w:rPr>
          <w:rFonts w:hint="eastAsia" w:ascii="宋体" w:hAnsi="宋体"/>
          <w:szCs w:val="21"/>
        </w:rPr>
        <w:t>2．刀头具有专利技术，专利名称为：一种穿刺脊椎减压器。</w:t>
      </w:r>
    </w:p>
    <w:p>
      <w:pPr>
        <w:adjustRightInd w:val="0"/>
        <w:snapToGrid w:val="0"/>
        <w:spacing w:line="460" w:lineRule="exact"/>
        <w:ind w:firstLine="210" w:firstLineChars="100"/>
        <w:rPr>
          <w:rFonts w:hint="eastAsia" w:ascii="宋体" w:hAnsi="宋体"/>
          <w:szCs w:val="21"/>
        </w:rPr>
      </w:pPr>
      <w:r>
        <w:rPr>
          <w:rFonts w:hint="eastAsia" w:ascii="宋体" w:hAnsi="宋体"/>
          <w:szCs w:val="21"/>
        </w:rPr>
        <w:t>3. 有直达靶点的可自由弯曲的刀头可供选择。</w:t>
      </w:r>
    </w:p>
    <w:p>
      <w:pPr>
        <w:adjustRightInd w:val="0"/>
        <w:snapToGrid w:val="0"/>
        <w:spacing w:line="460" w:lineRule="exact"/>
        <w:ind w:firstLine="210" w:firstLineChars="100"/>
        <w:rPr>
          <w:rFonts w:hint="eastAsia" w:ascii="宋体" w:hAnsi="宋体"/>
          <w:szCs w:val="21"/>
        </w:rPr>
      </w:pPr>
      <w:r>
        <w:rPr>
          <w:rFonts w:hint="eastAsia" w:ascii="宋体" w:hAnsi="宋体"/>
          <w:szCs w:val="21"/>
        </w:rPr>
        <w:t>4．刀头采用最先进的进口合金钛钢耐磨材料，激光焊接技术,不易脱落。</w:t>
      </w:r>
    </w:p>
    <w:p>
      <w:pPr>
        <w:adjustRightInd w:val="0"/>
        <w:snapToGrid w:val="0"/>
        <w:spacing w:line="460" w:lineRule="exact"/>
        <w:ind w:firstLine="280" w:firstLineChars="100"/>
        <w:rPr>
          <w:rFonts w:ascii="新宋体" w:hAnsi="新宋体" w:eastAsia="新宋体" w:cs="新宋体"/>
          <w:szCs w:val="21"/>
        </w:rPr>
      </w:pPr>
      <w:r>
        <w:rPr>
          <w:sz w:val="28"/>
          <w:szCs w:val="28"/>
        </w:rPr>
        <w:t>*</w:t>
      </w:r>
      <w:r>
        <w:rPr>
          <w:rFonts w:hint="eastAsia" w:ascii="宋体" w:hAnsi="宋体"/>
          <w:szCs w:val="21"/>
        </w:rPr>
        <w:t>5．</w:t>
      </w:r>
      <w:r>
        <w:rPr>
          <w:rFonts w:hint="eastAsia" w:ascii="新宋体" w:hAnsi="新宋体" w:eastAsia="新宋体" w:cs="新宋体"/>
          <w:b/>
          <w:bCs/>
          <w:szCs w:val="21"/>
        </w:rPr>
        <w:t>刀头需有无菌一次性使用和非无菌(重复使用）2系列类别可选择</w:t>
      </w:r>
      <w:r>
        <w:rPr>
          <w:rFonts w:hint="eastAsia" w:ascii="新宋体" w:hAnsi="新宋体" w:eastAsia="新宋体" w:cs="新宋体"/>
          <w:szCs w:val="21"/>
        </w:rPr>
        <w:t>。</w:t>
      </w:r>
    </w:p>
    <w:p>
      <w:pPr>
        <w:spacing w:line="440" w:lineRule="exact"/>
        <w:ind w:firstLine="210" w:firstLineChars="100"/>
        <w:rPr>
          <w:rFonts w:hint="eastAsia" w:ascii="新宋体" w:hAnsi="新宋体" w:eastAsia="新宋体" w:cs="新宋体"/>
          <w:szCs w:val="21"/>
        </w:rPr>
      </w:pPr>
      <w:r>
        <w:rPr>
          <w:rFonts w:hint="eastAsia" w:ascii="新宋体" w:hAnsi="新宋体" w:eastAsia="新宋体" w:cs="新宋体"/>
          <w:szCs w:val="21"/>
        </w:rPr>
        <w:t>6．主机可以自动识别控制刀头的使用次数和功率、档位、无需反复调节。</w:t>
      </w:r>
    </w:p>
    <w:p>
      <w:pPr>
        <w:spacing w:line="440" w:lineRule="exact"/>
        <w:ind w:left="630" w:leftChars="100" w:hanging="420" w:hangingChars="150"/>
        <w:rPr>
          <w:rFonts w:hint="eastAsia" w:ascii="新宋体" w:hAnsi="新宋体" w:eastAsia="新宋体" w:cs="新宋体"/>
          <w:szCs w:val="21"/>
        </w:rPr>
      </w:pPr>
      <w:r>
        <w:rPr>
          <w:sz w:val="28"/>
          <w:szCs w:val="28"/>
        </w:rPr>
        <w:t>*</w:t>
      </w:r>
      <w:r>
        <w:rPr>
          <w:rFonts w:hint="eastAsia" w:ascii="新宋体" w:hAnsi="新宋体" w:eastAsia="新宋体" w:cs="新宋体"/>
          <w:szCs w:val="21"/>
        </w:rPr>
        <w:t>7．</w:t>
      </w:r>
      <w:r>
        <w:rPr>
          <w:rFonts w:hint="eastAsia" w:ascii="宋体" w:hAnsi="宋体"/>
          <w:b/>
          <w:szCs w:val="21"/>
        </w:rPr>
        <w:t>刀头种类多</w:t>
      </w:r>
      <w:r>
        <w:rPr>
          <w:rFonts w:hint="eastAsia" w:ascii="宋体" w:hAnsi="宋体"/>
          <w:szCs w:val="21"/>
        </w:rPr>
        <w:t>，有可弯曲刀头、颈椎消融刀头、腰椎打孔消融多功能刀头、后路靶点刀头、侧路靶点刀头、孔镜汽化修复止血刀头等可供选择。</w:t>
      </w:r>
    </w:p>
    <w:p>
      <w:pPr>
        <w:rPr>
          <w:rFonts w:ascii="宋体"/>
          <w:szCs w:val="21"/>
        </w:rPr>
      </w:pPr>
    </w:p>
    <w:p>
      <w:pPr>
        <w:rPr>
          <w:rFonts w:ascii="宋体"/>
          <w:szCs w:val="21"/>
        </w:rPr>
      </w:pPr>
    </w:p>
    <w:p>
      <w:pPr>
        <w:snapToGrid w:val="0"/>
        <w:spacing w:line="300" w:lineRule="auto"/>
        <w:ind w:firstLine="281" w:firstLineChars="100"/>
        <w:contextualSpacing/>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3.4其它额外评标因素和标准：</w:t>
      </w:r>
    </w:p>
    <w:p>
      <w:pPr>
        <w:snapToGrid w:val="0"/>
        <w:spacing w:line="300" w:lineRule="auto"/>
        <w:ind w:firstLine="560" w:firstLineChars="2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3.4.1、招标要求中的“</w:t>
      </w:r>
      <w:r>
        <w:rPr>
          <w:sz w:val="28"/>
          <w:szCs w:val="28"/>
        </w:rPr>
        <w:t>*</w:t>
      </w:r>
      <w:r>
        <w:rPr>
          <w:rFonts w:hint="eastAsia" w:ascii="仿宋" w:hAnsi="仿宋" w:eastAsia="仿宋" w:cs="宋体"/>
          <w:color w:val="333333"/>
          <w:kern w:val="0"/>
          <w:sz w:val="28"/>
          <w:szCs w:val="28"/>
        </w:rPr>
        <w:t>” 号项必须满足，任何一项不符，则废标。其他一般条款偏离达到3项废标。</w:t>
      </w:r>
    </w:p>
    <w:p>
      <w:pPr>
        <w:snapToGrid w:val="0"/>
        <w:spacing w:line="300" w:lineRule="auto"/>
        <w:ind w:firstLine="560" w:firstLineChars="2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 xml:space="preserve">3.4.2、投标分项报价表与技术规格偏离表必须严格按照招标文件的要求制作，如果未按照招标文件的要求制作，由此产生的投标被否决的风险由投标人承担。 </w:t>
      </w:r>
    </w:p>
    <w:p>
      <w:pPr>
        <w:snapToGrid w:val="0"/>
        <w:spacing w:line="300" w:lineRule="auto"/>
        <w:ind w:firstLine="281" w:firstLineChars="100"/>
        <w:contextualSpacing/>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rPr>
        <w:t>3.5采购标的需满足的服务标准、期限、效率等要求：</w:t>
      </w:r>
    </w:p>
    <w:p>
      <w:pPr>
        <w:snapToGrid w:val="0"/>
        <w:spacing w:line="300" w:lineRule="auto"/>
        <w:ind w:firstLine="560" w:firstLineChars="2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响应时间：成交供应商应在收到买方电话4小时内响应，24小时到达现场。</w:t>
      </w:r>
    </w:p>
    <w:p>
      <w:pPr>
        <w:snapToGrid w:val="0"/>
        <w:spacing w:line="300" w:lineRule="auto"/>
        <w:ind w:firstLine="281" w:firstLineChars="100"/>
        <w:contextualSpacing/>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3.6采购标的的验收标准：</w:t>
      </w:r>
      <w:r>
        <w:rPr>
          <w:rFonts w:hint="eastAsia" w:ascii="仿宋" w:hAnsi="仿宋" w:eastAsia="仿宋" w:cs="宋体"/>
          <w:color w:val="333333"/>
          <w:kern w:val="0"/>
          <w:sz w:val="28"/>
          <w:szCs w:val="28"/>
        </w:rPr>
        <w:t>严格根据采购文件、响应文件以及国家相关规定、标准进行验收。</w:t>
      </w:r>
    </w:p>
    <w:p>
      <w:pPr>
        <w:snapToGrid w:val="0"/>
        <w:spacing w:line="300" w:lineRule="auto"/>
        <w:contextualSpacing/>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四、项目其他要求</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4.1签定合同日期：自成交公告结束后</w:t>
      </w:r>
      <w:r>
        <w:rPr>
          <w:rFonts w:hint="eastAsia" w:ascii="仿宋" w:hAnsi="仿宋" w:eastAsia="仿宋" w:cs="宋体"/>
          <w:color w:val="333333"/>
          <w:kern w:val="0"/>
          <w:sz w:val="28"/>
          <w:szCs w:val="28"/>
          <w:u w:val="single"/>
        </w:rPr>
        <w:t xml:space="preserve">15 </w:t>
      </w:r>
      <w:r>
        <w:rPr>
          <w:rFonts w:hint="eastAsia" w:ascii="仿宋" w:hAnsi="仿宋" w:eastAsia="仿宋" w:cs="宋体"/>
          <w:color w:val="333333"/>
          <w:kern w:val="0"/>
          <w:sz w:val="28"/>
          <w:szCs w:val="28"/>
        </w:rPr>
        <w:t>日内按时签约。</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 xml:space="preserve">4.2交货期（服务时间）：自合同签定之日起 </w:t>
      </w:r>
      <w:r>
        <w:rPr>
          <w:rFonts w:hint="eastAsia" w:ascii="仿宋" w:hAnsi="仿宋" w:eastAsia="仿宋" w:cs="宋体"/>
          <w:color w:val="333333"/>
          <w:kern w:val="0"/>
          <w:sz w:val="28"/>
          <w:szCs w:val="28"/>
          <w:u w:val="single"/>
        </w:rPr>
        <w:t xml:space="preserve">30 </w:t>
      </w:r>
      <w:r>
        <w:rPr>
          <w:rFonts w:hint="eastAsia" w:ascii="仿宋" w:hAnsi="仿宋" w:eastAsia="仿宋" w:cs="宋体"/>
          <w:color w:val="333333"/>
          <w:kern w:val="0"/>
          <w:sz w:val="28"/>
          <w:szCs w:val="28"/>
        </w:rPr>
        <w:t>日内。</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4.3交货（服务）地点：买方指定地点。</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4.4质保期限（自交货并验收合格之日起计）：质保期</w:t>
      </w:r>
      <w:r>
        <w:rPr>
          <w:rFonts w:hint="eastAsia" w:ascii="仿宋" w:hAnsi="仿宋" w:eastAsia="仿宋" w:cs="宋体"/>
          <w:color w:val="333333"/>
          <w:kern w:val="0"/>
          <w:sz w:val="28"/>
          <w:szCs w:val="28"/>
          <w:u w:val="single"/>
          <w:lang w:val="en-US" w:eastAsia="zh-CN"/>
        </w:rPr>
        <w:t>3</w:t>
      </w:r>
      <w:r>
        <w:rPr>
          <w:rFonts w:hint="eastAsia" w:ascii="仿宋" w:hAnsi="仿宋" w:eastAsia="仿宋" w:cs="宋体"/>
          <w:color w:val="333333"/>
          <w:kern w:val="0"/>
          <w:sz w:val="28"/>
          <w:szCs w:val="28"/>
        </w:rPr>
        <w:t>年，终身维护。</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4.5验收方案、售后服务及其他（含安装、调试、培训、维护等）：成交供应商先期进行场地勘察，在交货期内将上述采购货物送到买方指定地点，并负责安装调试、提供技术援助、人员培训。</w:t>
      </w:r>
    </w:p>
    <w:p>
      <w:pPr>
        <w:snapToGrid w:val="0"/>
        <w:spacing w:line="300" w:lineRule="auto"/>
        <w:ind w:firstLine="560" w:firstLineChars="2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设备验收时间：设备试用后3个工作日内进行验收。</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验收方法：买方收货时应对产品的数量、型号、规格、包装等进行初步验收，验收无误应签署收货单；卖方需免费派工程师到达现场协助验收工作，保证货物经正确安装、正常运转和保养，在其使用寿命期内具有符合质量要求和产品说明书的性能。</w:t>
      </w:r>
    </w:p>
    <w:p>
      <w:pPr>
        <w:snapToGrid w:val="0"/>
        <w:spacing w:line="300" w:lineRule="auto"/>
        <w:contextualSpacing/>
        <w:rPr>
          <w:rFonts w:ascii="仿宋" w:hAnsi="仿宋" w:eastAsia="仿宋" w:cs="宋体"/>
          <w:color w:val="333333"/>
          <w:kern w:val="0"/>
          <w:sz w:val="28"/>
          <w:szCs w:val="28"/>
        </w:rPr>
      </w:pPr>
      <w:r>
        <w:rPr>
          <w:rFonts w:hint="eastAsia" w:ascii="仿宋" w:hAnsi="仿宋" w:eastAsia="仿宋" w:cs="宋体"/>
          <w:b/>
          <w:bCs/>
          <w:color w:val="333333"/>
          <w:kern w:val="0"/>
          <w:sz w:val="28"/>
          <w:szCs w:val="28"/>
        </w:rPr>
        <w:t>五、付款时间和条件</w:t>
      </w:r>
    </w:p>
    <w:p>
      <w:pPr>
        <w:snapToGrid w:val="0"/>
        <w:spacing w:line="300" w:lineRule="auto"/>
        <w:ind w:firstLine="280" w:firstLineChars="100"/>
        <w:contextualSpacing/>
        <w:rPr>
          <w:rFonts w:ascii="仿宋" w:hAnsi="仿宋" w:eastAsia="仿宋" w:cs="宋体"/>
          <w:color w:val="333333"/>
          <w:kern w:val="0"/>
          <w:sz w:val="28"/>
          <w:szCs w:val="28"/>
        </w:rPr>
      </w:pPr>
      <w:r>
        <w:rPr>
          <w:rFonts w:hint="eastAsia" w:ascii="仿宋" w:hAnsi="仿宋" w:eastAsia="仿宋" w:cs="宋体"/>
          <w:color w:val="333333"/>
          <w:kern w:val="0"/>
          <w:sz w:val="28"/>
          <w:szCs w:val="28"/>
        </w:rPr>
        <w:t>货物交付验收合格、良好运行一个月后付货款的90%，</w:t>
      </w:r>
      <w:r>
        <w:rPr>
          <w:rFonts w:hint="eastAsia" w:ascii="仿宋" w:hAnsi="仿宋" w:eastAsia="仿宋" w:cs="宋体"/>
          <w:color w:val="333333"/>
          <w:kern w:val="0"/>
          <w:sz w:val="28"/>
          <w:szCs w:val="28"/>
          <w:lang w:val="en-US" w:eastAsia="zh-CN"/>
        </w:rPr>
        <w:t>一年</w:t>
      </w:r>
      <w:r>
        <w:rPr>
          <w:rFonts w:hint="eastAsia" w:ascii="仿宋" w:hAnsi="仿宋" w:eastAsia="仿宋" w:cs="宋体"/>
          <w:color w:val="333333"/>
          <w:kern w:val="0"/>
          <w:sz w:val="28"/>
          <w:szCs w:val="28"/>
        </w:rPr>
        <w:t>后无质量问题付清余款，不计息。</w:t>
      </w:r>
    </w:p>
    <w:p>
      <w:pPr>
        <w:widowControl/>
        <w:shd w:val="clear" w:color="auto" w:fill="FFFFFF"/>
        <w:spacing w:line="480" w:lineRule="exact"/>
        <w:jc w:val="left"/>
        <w:rPr>
          <w:rFonts w:ascii="仿宋" w:hAnsi="仿宋" w:eastAsia="仿宋" w:cs="宋体"/>
          <w:b/>
          <w:bCs/>
          <w:color w:val="333333"/>
          <w:kern w:val="0"/>
          <w:sz w:val="28"/>
          <w:szCs w:val="28"/>
        </w:rPr>
      </w:pPr>
      <w:r>
        <w:rPr>
          <w:rFonts w:hint="eastAsia" w:ascii="仿宋" w:hAnsi="仿宋" w:eastAsia="仿宋" w:cs="宋体"/>
          <w:b/>
          <w:bCs/>
          <w:color w:val="333333"/>
          <w:kern w:val="0"/>
          <w:sz w:val="28"/>
          <w:szCs w:val="28"/>
          <w:lang w:val="en-US" w:eastAsia="zh-CN"/>
        </w:rPr>
        <w:t>六</w:t>
      </w:r>
      <w:r>
        <w:rPr>
          <w:rFonts w:hint="eastAsia" w:ascii="仿宋" w:hAnsi="仿宋" w:eastAsia="仿宋" w:cs="宋体"/>
          <w:b/>
          <w:bCs/>
          <w:color w:val="333333"/>
          <w:kern w:val="0"/>
          <w:sz w:val="28"/>
          <w:szCs w:val="28"/>
        </w:rPr>
        <w:t>、特别提醒</w:t>
      </w:r>
    </w:p>
    <w:p>
      <w:pPr>
        <w:widowControl/>
        <w:shd w:val="clear" w:color="auto" w:fill="FFFFFF"/>
        <w:spacing w:line="480" w:lineRule="exact"/>
        <w:ind w:firstLine="560" w:firstLineChars="200"/>
        <w:jc w:val="left"/>
        <w:rPr>
          <w:rFonts w:ascii="仿宋" w:hAnsi="仿宋" w:eastAsia="仿宋" w:cs="宋体"/>
          <w:color w:val="333333"/>
          <w:kern w:val="0"/>
          <w:sz w:val="28"/>
          <w:szCs w:val="28"/>
        </w:rPr>
      </w:pPr>
      <w:r>
        <w:rPr>
          <w:rFonts w:hint="eastAsia" w:ascii="仿宋" w:hAnsi="仿宋" w:eastAsia="仿宋" w:cs="宋体"/>
          <w:color w:val="333333"/>
          <w:kern w:val="0"/>
          <w:sz w:val="28"/>
          <w:szCs w:val="28"/>
        </w:rPr>
        <w:t>请供应商仔细阅读项目需求。采购人的需求供应商应进行实事求是的响应。成交供应商在与采购人签订合同和履约环节中不得提出异议，一切后果和损失由成交供应商承担。供应商提供的服务与采购人项目需求要求不同的，必须做书面说明，否则视同完全响应。</w:t>
      </w:r>
    </w:p>
    <w:p>
      <w:pPr>
        <w:widowControl/>
        <w:shd w:val="clear" w:color="auto" w:fill="FFFFFF"/>
        <w:spacing w:line="440" w:lineRule="exact"/>
        <w:jc w:val="left"/>
        <w:rPr>
          <w:rFonts w:ascii="仿宋" w:hAnsi="仿宋" w:eastAsia="仿宋" w:cs="宋体"/>
          <w:color w:val="333333"/>
          <w:kern w:val="0"/>
          <w:sz w:val="28"/>
          <w:szCs w:val="28"/>
        </w:rPr>
      </w:pPr>
    </w:p>
    <w:p>
      <w:pPr>
        <w:widowControl/>
        <w:shd w:val="clear" w:color="auto" w:fill="FFFFFF"/>
        <w:spacing w:line="440" w:lineRule="exact"/>
        <w:jc w:val="left"/>
        <w:rPr>
          <w:rFonts w:ascii="仿宋" w:hAnsi="仿宋" w:eastAsia="仿宋" w:cs="宋体"/>
          <w:color w:val="333333"/>
          <w:kern w:val="0"/>
          <w:sz w:val="28"/>
          <w:szCs w:val="28"/>
        </w:rPr>
      </w:pPr>
    </w:p>
    <w:p>
      <w:pPr>
        <w:widowControl/>
        <w:shd w:val="clear" w:color="auto" w:fill="FFFFFF"/>
        <w:spacing w:line="440" w:lineRule="exact"/>
        <w:jc w:val="left"/>
        <w:rPr>
          <w:rFonts w:ascii="仿宋" w:hAnsi="仿宋" w:eastAsia="仿宋" w:cs="宋体"/>
          <w:color w:val="333333"/>
          <w:kern w:val="0"/>
          <w:sz w:val="28"/>
          <w:szCs w:val="28"/>
        </w:rPr>
      </w:pPr>
    </w:p>
    <w:p>
      <w:pPr>
        <w:widowControl/>
        <w:shd w:val="clear" w:color="auto" w:fill="FFFFFF"/>
        <w:spacing w:line="440" w:lineRule="exact"/>
        <w:jc w:val="left"/>
        <w:rPr>
          <w:rFonts w:ascii="仿宋" w:hAnsi="仿宋" w:eastAsia="仿宋" w:cs="宋体"/>
          <w:color w:val="333333"/>
          <w:kern w:val="0"/>
          <w:sz w:val="28"/>
          <w:szCs w:val="28"/>
        </w:rPr>
      </w:pPr>
    </w:p>
    <w:p>
      <w:pPr>
        <w:widowControl/>
        <w:shd w:val="clear" w:color="auto" w:fill="FFFFFF"/>
        <w:spacing w:line="440" w:lineRule="exact"/>
        <w:jc w:val="left"/>
        <w:rPr>
          <w:rFonts w:ascii="仿宋" w:hAnsi="仿宋" w:eastAsia="仿宋" w:cs="宋体"/>
          <w:color w:val="333333"/>
          <w:kern w:val="0"/>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bookmarkStart w:id="0" w:name="_GoBack"/>
      <w:bookmarkEnd w:id="0"/>
    </w:p>
    <w:p>
      <w:pPr>
        <w:snapToGrid w:val="0"/>
        <w:spacing w:line="300" w:lineRule="auto"/>
        <w:rPr>
          <w:rFonts w:ascii="仿宋" w:hAnsi="仿宋" w:eastAsia="仿宋"/>
          <w:b/>
          <w:sz w:val="28"/>
          <w:szCs w:val="28"/>
        </w:rPr>
      </w:pPr>
    </w:p>
    <w:p>
      <w:pPr>
        <w:snapToGrid w:val="0"/>
        <w:spacing w:line="300" w:lineRule="auto"/>
        <w:rPr>
          <w:rFonts w:ascii="仿宋" w:hAnsi="仿宋" w:eastAsia="仿宋"/>
          <w:b/>
          <w:sz w:val="28"/>
          <w:szCs w:val="28"/>
        </w:rPr>
      </w:pPr>
      <w:r>
        <w:rPr>
          <w:rFonts w:hint="eastAsia" w:ascii="仿宋" w:hAnsi="仿宋" w:eastAsia="仿宋"/>
          <w:b/>
          <w:sz w:val="28"/>
          <w:szCs w:val="28"/>
        </w:rPr>
        <w:t>附件1</w:t>
      </w:r>
    </w:p>
    <w:p>
      <w:pPr>
        <w:snapToGrid w:val="0"/>
        <w:spacing w:line="300" w:lineRule="auto"/>
        <w:jc w:val="center"/>
        <w:rPr>
          <w:rFonts w:ascii="仿宋" w:hAnsi="仿宋" w:eastAsia="仿宋"/>
          <w:b/>
          <w:sz w:val="36"/>
          <w:szCs w:val="36"/>
        </w:rPr>
      </w:pPr>
      <w:r>
        <w:rPr>
          <w:rFonts w:hint="eastAsia" w:ascii="仿宋" w:hAnsi="仿宋" w:eastAsia="仿宋"/>
          <w:b/>
          <w:sz w:val="36"/>
          <w:szCs w:val="36"/>
        </w:rPr>
        <w:t>海安市人民医院询价采购报价单</w:t>
      </w:r>
    </w:p>
    <w:p>
      <w:pPr>
        <w:adjustRightInd w:val="0"/>
        <w:spacing w:line="440" w:lineRule="exact"/>
        <w:ind w:firstLine="482"/>
        <w:jc w:val="center"/>
        <w:rPr>
          <w:rFonts w:ascii="仿宋" w:hAnsi="仿宋" w:eastAsia="仿宋"/>
          <w:b/>
          <w:sz w:val="32"/>
          <w:szCs w:val="32"/>
        </w:rPr>
      </w:pPr>
      <w:r>
        <w:rPr>
          <w:rFonts w:hint="eastAsia" w:ascii="仿宋" w:hAnsi="仿宋" w:eastAsia="仿宋"/>
          <w:b/>
          <w:sz w:val="32"/>
          <w:szCs w:val="32"/>
        </w:rPr>
        <w:t xml:space="preserve"> XXXXX项目</w:t>
      </w:r>
    </w:p>
    <w:p>
      <w:pPr>
        <w:adjustRightInd w:val="0"/>
        <w:spacing w:line="440" w:lineRule="exact"/>
        <w:ind w:firstLine="482"/>
        <w:jc w:val="center"/>
        <w:rPr>
          <w:rFonts w:ascii="仿宋" w:hAnsi="仿宋" w:eastAsia="仿宋"/>
          <w:b/>
          <w:sz w:val="32"/>
          <w:szCs w:val="32"/>
        </w:rPr>
      </w:pPr>
    </w:p>
    <w:p>
      <w:pPr>
        <w:spacing w:line="500" w:lineRule="exact"/>
        <w:rPr>
          <w:rFonts w:ascii="仿宋" w:hAnsi="仿宋" w:eastAsia="仿宋"/>
          <w:b/>
          <w:sz w:val="36"/>
          <w:szCs w:val="36"/>
        </w:rPr>
      </w:pPr>
      <w:r>
        <w:rPr>
          <w:rFonts w:hint="eastAsia" w:ascii="仿宋" w:hAnsi="仿宋" w:eastAsia="仿宋"/>
          <w:sz w:val="28"/>
          <w:szCs w:val="28"/>
        </w:rPr>
        <w:t xml:space="preserve">项目编号： </w:t>
      </w:r>
      <w:r>
        <w:rPr>
          <w:rFonts w:hint="eastAsia" w:ascii="仿宋" w:hAnsi="仿宋" w:eastAsia="仿宋"/>
          <w:b/>
          <w:sz w:val="36"/>
          <w:szCs w:val="36"/>
        </w:rPr>
        <w:t>XXXXX</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995"/>
        <w:gridCol w:w="1260"/>
        <w:gridCol w:w="1260"/>
        <w:gridCol w:w="1155"/>
        <w:gridCol w:w="1155"/>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tcPr>
          <w:p>
            <w:pPr>
              <w:snapToGrid w:val="0"/>
              <w:spacing w:line="300" w:lineRule="auto"/>
              <w:rPr>
                <w:rFonts w:ascii="仿宋" w:hAnsi="仿宋" w:eastAsia="仿宋"/>
                <w:b/>
                <w:sz w:val="28"/>
                <w:szCs w:val="28"/>
              </w:rPr>
            </w:pPr>
            <w:r>
              <w:rPr>
                <w:rFonts w:hint="eastAsia" w:ascii="仿宋" w:hAnsi="仿宋" w:eastAsia="仿宋"/>
                <w:b/>
                <w:sz w:val="28"/>
                <w:szCs w:val="28"/>
              </w:rPr>
              <w:t>序号</w:t>
            </w:r>
          </w:p>
        </w:tc>
        <w:tc>
          <w:tcPr>
            <w:tcW w:w="1995" w:type="dxa"/>
            <w:noWrap/>
          </w:tcPr>
          <w:p>
            <w:pPr>
              <w:snapToGrid w:val="0"/>
              <w:spacing w:line="300" w:lineRule="auto"/>
              <w:rPr>
                <w:rFonts w:ascii="仿宋" w:hAnsi="仿宋" w:eastAsia="仿宋"/>
                <w:b/>
                <w:sz w:val="28"/>
                <w:szCs w:val="28"/>
              </w:rPr>
            </w:pPr>
            <w:r>
              <w:rPr>
                <w:rFonts w:hint="eastAsia" w:ascii="仿宋" w:hAnsi="仿宋" w:eastAsia="仿宋"/>
                <w:b/>
                <w:sz w:val="28"/>
                <w:szCs w:val="28"/>
              </w:rPr>
              <w:t>项目</w:t>
            </w:r>
          </w:p>
        </w:tc>
        <w:tc>
          <w:tcPr>
            <w:tcW w:w="1260" w:type="dxa"/>
            <w:noWrap/>
            <w:vAlign w:val="center"/>
          </w:tcPr>
          <w:p>
            <w:pPr>
              <w:snapToGrid w:val="0"/>
              <w:spacing w:line="300" w:lineRule="auto"/>
              <w:jc w:val="center"/>
              <w:rPr>
                <w:rFonts w:ascii="仿宋" w:hAnsi="仿宋" w:eastAsia="仿宋"/>
                <w:b/>
                <w:sz w:val="28"/>
                <w:szCs w:val="28"/>
              </w:rPr>
            </w:pPr>
            <w:r>
              <w:rPr>
                <w:rFonts w:hint="eastAsia" w:ascii="仿宋" w:hAnsi="仿宋" w:eastAsia="仿宋"/>
                <w:b/>
                <w:sz w:val="28"/>
                <w:szCs w:val="28"/>
              </w:rPr>
              <w:t>品牌 规格 配置</w:t>
            </w:r>
          </w:p>
        </w:tc>
        <w:tc>
          <w:tcPr>
            <w:tcW w:w="1260" w:type="dxa"/>
            <w:noWrap/>
            <w:vAlign w:val="center"/>
          </w:tcPr>
          <w:p>
            <w:pPr>
              <w:snapToGrid w:val="0"/>
              <w:spacing w:line="300" w:lineRule="auto"/>
              <w:jc w:val="center"/>
              <w:rPr>
                <w:rFonts w:ascii="仿宋" w:hAnsi="仿宋" w:eastAsia="仿宋"/>
                <w:b/>
                <w:sz w:val="28"/>
                <w:szCs w:val="28"/>
              </w:rPr>
            </w:pPr>
            <w:r>
              <w:rPr>
                <w:rFonts w:hint="eastAsia" w:ascii="仿宋" w:hAnsi="仿宋" w:eastAsia="仿宋"/>
                <w:b/>
                <w:sz w:val="28"/>
                <w:szCs w:val="28"/>
              </w:rPr>
              <w:t>数量</w:t>
            </w:r>
          </w:p>
        </w:tc>
        <w:tc>
          <w:tcPr>
            <w:tcW w:w="1155" w:type="dxa"/>
            <w:noWrap/>
          </w:tcPr>
          <w:p>
            <w:pPr>
              <w:snapToGrid w:val="0"/>
              <w:spacing w:line="300" w:lineRule="auto"/>
              <w:jc w:val="center"/>
              <w:rPr>
                <w:rFonts w:ascii="仿宋" w:hAnsi="仿宋" w:eastAsia="仿宋"/>
                <w:b/>
                <w:sz w:val="28"/>
                <w:szCs w:val="28"/>
              </w:rPr>
            </w:pPr>
            <w:r>
              <w:rPr>
                <w:rFonts w:hint="eastAsia" w:ascii="仿宋" w:hAnsi="仿宋" w:eastAsia="仿宋"/>
                <w:b/>
                <w:sz w:val="28"/>
                <w:szCs w:val="28"/>
              </w:rPr>
              <w:t>单价</w:t>
            </w:r>
          </w:p>
          <w:p>
            <w:pPr>
              <w:snapToGrid w:val="0"/>
              <w:spacing w:line="300" w:lineRule="auto"/>
              <w:jc w:val="center"/>
              <w:rPr>
                <w:rFonts w:ascii="仿宋" w:hAnsi="仿宋" w:eastAsia="仿宋"/>
                <w:b/>
                <w:sz w:val="28"/>
                <w:szCs w:val="28"/>
              </w:rPr>
            </w:pPr>
            <w:r>
              <w:rPr>
                <w:rFonts w:hint="eastAsia" w:ascii="仿宋" w:hAnsi="仿宋" w:eastAsia="仿宋"/>
                <w:b/>
                <w:sz w:val="28"/>
                <w:szCs w:val="28"/>
              </w:rPr>
              <w:t>（元）</w:t>
            </w:r>
          </w:p>
        </w:tc>
        <w:tc>
          <w:tcPr>
            <w:tcW w:w="1155" w:type="dxa"/>
            <w:noWrap/>
          </w:tcPr>
          <w:p>
            <w:pPr>
              <w:snapToGrid w:val="0"/>
              <w:spacing w:line="300" w:lineRule="auto"/>
              <w:jc w:val="center"/>
              <w:rPr>
                <w:rFonts w:ascii="仿宋" w:hAnsi="仿宋" w:eastAsia="仿宋"/>
                <w:b/>
                <w:sz w:val="28"/>
                <w:szCs w:val="28"/>
              </w:rPr>
            </w:pPr>
            <w:r>
              <w:rPr>
                <w:rFonts w:hint="eastAsia" w:ascii="仿宋" w:hAnsi="仿宋" w:eastAsia="仿宋"/>
                <w:b/>
                <w:sz w:val="28"/>
                <w:szCs w:val="28"/>
              </w:rPr>
              <w:t>金额</w:t>
            </w:r>
          </w:p>
          <w:p>
            <w:pPr>
              <w:snapToGrid w:val="0"/>
              <w:spacing w:line="300" w:lineRule="auto"/>
              <w:jc w:val="center"/>
              <w:rPr>
                <w:rFonts w:ascii="仿宋" w:hAnsi="仿宋" w:eastAsia="仿宋"/>
                <w:b/>
                <w:sz w:val="28"/>
                <w:szCs w:val="28"/>
              </w:rPr>
            </w:pPr>
            <w:r>
              <w:rPr>
                <w:rFonts w:hint="eastAsia" w:ascii="仿宋" w:hAnsi="仿宋" w:eastAsia="仿宋"/>
                <w:b/>
                <w:sz w:val="28"/>
                <w:szCs w:val="28"/>
              </w:rPr>
              <w:t>（元）</w:t>
            </w:r>
          </w:p>
        </w:tc>
        <w:tc>
          <w:tcPr>
            <w:tcW w:w="959" w:type="dxa"/>
            <w:noWrap/>
            <w:vAlign w:val="center"/>
          </w:tcPr>
          <w:p>
            <w:pPr>
              <w:snapToGrid w:val="0"/>
              <w:spacing w:line="300" w:lineRule="auto"/>
              <w:ind w:firstLine="138" w:firstLineChars="49"/>
              <w:jc w:val="center"/>
              <w:rPr>
                <w:rFonts w:ascii="仿宋" w:hAnsi="仿宋" w:eastAsia="仿宋"/>
                <w:b/>
                <w:sz w:val="28"/>
                <w:szCs w:val="28"/>
              </w:rPr>
            </w:pPr>
            <w:r>
              <w:rPr>
                <w:rFonts w:hint="eastAsia" w:ascii="仿宋" w:hAnsi="仿宋" w:eastAsia="仿宋"/>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tcPr>
          <w:p>
            <w:pPr>
              <w:snapToGrid w:val="0"/>
              <w:spacing w:line="300" w:lineRule="auto"/>
              <w:rPr>
                <w:rFonts w:ascii="仿宋" w:hAnsi="仿宋" w:eastAsia="仿宋"/>
                <w:b/>
                <w:sz w:val="28"/>
                <w:szCs w:val="28"/>
              </w:rPr>
            </w:pPr>
            <w:r>
              <w:rPr>
                <w:rFonts w:hint="eastAsia" w:ascii="仿宋" w:hAnsi="仿宋" w:eastAsia="仿宋"/>
                <w:b/>
                <w:sz w:val="28"/>
                <w:szCs w:val="28"/>
              </w:rPr>
              <w:t>1</w:t>
            </w:r>
          </w:p>
        </w:tc>
        <w:tc>
          <w:tcPr>
            <w:tcW w:w="1995"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959" w:type="dxa"/>
            <w:noWrap/>
          </w:tcPr>
          <w:p>
            <w:pPr>
              <w:snapToGrid w:val="0"/>
              <w:spacing w:line="300" w:lineRule="auto"/>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tcPr>
          <w:p>
            <w:pPr>
              <w:snapToGrid w:val="0"/>
              <w:spacing w:line="300" w:lineRule="auto"/>
              <w:rPr>
                <w:rFonts w:ascii="仿宋" w:hAnsi="仿宋" w:eastAsia="仿宋"/>
                <w:b/>
                <w:sz w:val="28"/>
                <w:szCs w:val="28"/>
              </w:rPr>
            </w:pPr>
          </w:p>
        </w:tc>
        <w:tc>
          <w:tcPr>
            <w:tcW w:w="1995"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959" w:type="dxa"/>
            <w:noWrap/>
          </w:tcPr>
          <w:p>
            <w:pPr>
              <w:snapToGrid w:val="0"/>
              <w:spacing w:line="300" w:lineRule="auto"/>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tcPr>
          <w:p>
            <w:pPr>
              <w:snapToGrid w:val="0"/>
              <w:spacing w:line="300" w:lineRule="auto"/>
              <w:rPr>
                <w:rFonts w:ascii="仿宋" w:hAnsi="仿宋" w:eastAsia="仿宋"/>
                <w:b/>
                <w:sz w:val="28"/>
                <w:szCs w:val="28"/>
              </w:rPr>
            </w:pPr>
          </w:p>
        </w:tc>
        <w:tc>
          <w:tcPr>
            <w:tcW w:w="1995"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959" w:type="dxa"/>
            <w:noWrap/>
          </w:tcPr>
          <w:p>
            <w:pPr>
              <w:snapToGrid w:val="0"/>
              <w:spacing w:line="300" w:lineRule="auto"/>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tcPr>
          <w:p>
            <w:pPr>
              <w:snapToGrid w:val="0"/>
              <w:spacing w:line="300" w:lineRule="auto"/>
              <w:rPr>
                <w:rFonts w:ascii="仿宋" w:hAnsi="仿宋" w:eastAsia="仿宋"/>
                <w:b/>
                <w:sz w:val="28"/>
                <w:szCs w:val="28"/>
              </w:rPr>
            </w:pPr>
          </w:p>
        </w:tc>
        <w:tc>
          <w:tcPr>
            <w:tcW w:w="1995" w:type="dxa"/>
            <w:noWrap/>
          </w:tcPr>
          <w:p>
            <w:pPr>
              <w:snapToGrid w:val="0"/>
              <w:spacing w:line="300" w:lineRule="auto"/>
              <w:rPr>
                <w:rFonts w:ascii="仿宋" w:hAnsi="仿宋" w:eastAsia="仿宋"/>
                <w:b/>
                <w:sz w:val="28"/>
                <w:szCs w:val="28"/>
              </w:rPr>
            </w:pPr>
            <w:r>
              <w:rPr>
                <w:rFonts w:hint="eastAsia" w:ascii="仿宋" w:hAnsi="仿宋" w:eastAsia="仿宋"/>
                <w:sz w:val="28"/>
                <w:szCs w:val="28"/>
              </w:rPr>
              <w:t xml:space="preserve">合  计       </w:t>
            </w:r>
          </w:p>
        </w:tc>
        <w:tc>
          <w:tcPr>
            <w:tcW w:w="1260" w:type="dxa"/>
            <w:noWrap/>
          </w:tcPr>
          <w:p>
            <w:pPr>
              <w:snapToGrid w:val="0"/>
              <w:spacing w:line="300" w:lineRule="auto"/>
              <w:rPr>
                <w:rFonts w:ascii="仿宋" w:hAnsi="仿宋" w:eastAsia="仿宋"/>
                <w:b/>
                <w:sz w:val="28"/>
                <w:szCs w:val="28"/>
              </w:rPr>
            </w:pPr>
          </w:p>
        </w:tc>
        <w:tc>
          <w:tcPr>
            <w:tcW w:w="1260"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1155" w:type="dxa"/>
            <w:noWrap/>
          </w:tcPr>
          <w:p>
            <w:pPr>
              <w:snapToGrid w:val="0"/>
              <w:spacing w:line="300" w:lineRule="auto"/>
              <w:rPr>
                <w:rFonts w:ascii="仿宋" w:hAnsi="仿宋" w:eastAsia="仿宋"/>
                <w:b/>
                <w:sz w:val="28"/>
                <w:szCs w:val="28"/>
              </w:rPr>
            </w:pPr>
          </w:p>
        </w:tc>
        <w:tc>
          <w:tcPr>
            <w:tcW w:w="959" w:type="dxa"/>
            <w:noWrap/>
          </w:tcPr>
          <w:p>
            <w:pPr>
              <w:snapToGrid w:val="0"/>
              <w:spacing w:line="300" w:lineRule="auto"/>
              <w:rPr>
                <w:rFonts w:ascii="仿宋" w:hAnsi="仿宋" w:eastAsia="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tcPr>
          <w:p>
            <w:pPr>
              <w:snapToGrid w:val="0"/>
              <w:spacing w:line="300" w:lineRule="auto"/>
              <w:rPr>
                <w:rFonts w:ascii="仿宋" w:hAnsi="仿宋" w:eastAsia="仿宋"/>
                <w:b/>
                <w:sz w:val="28"/>
                <w:szCs w:val="28"/>
              </w:rPr>
            </w:pPr>
          </w:p>
        </w:tc>
        <w:tc>
          <w:tcPr>
            <w:tcW w:w="7784" w:type="dxa"/>
            <w:gridSpan w:val="6"/>
            <w:noWrap/>
          </w:tcPr>
          <w:p>
            <w:pPr>
              <w:snapToGrid w:val="0"/>
              <w:spacing w:line="300" w:lineRule="auto"/>
              <w:rPr>
                <w:rFonts w:ascii="仿宋" w:hAnsi="仿宋" w:eastAsia="仿宋"/>
                <w:b/>
                <w:sz w:val="28"/>
                <w:szCs w:val="28"/>
              </w:rPr>
            </w:pPr>
            <w:r>
              <w:rPr>
                <w:rFonts w:hint="eastAsia" w:ascii="仿宋" w:hAnsi="仿宋" w:eastAsia="仿宋"/>
                <w:sz w:val="28"/>
                <w:szCs w:val="28"/>
              </w:rPr>
              <w:t>总报价（大写）</w:t>
            </w:r>
          </w:p>
        </w:tc>
      </w:tr>
    </w:tbl>
    <w:p>
      <w:pPr>
        <w:snapToGrid w:val="0"/>
        <w:spacing w:line="300" w:lineRule="auto"/>
        <w:rPr>
          <w:rFonts w:ascii="仿宋" w:hAnsi="仿宋" w:eastAsia="仿宋"/>
          <w:b/>
          <w:sz w:val="28"/>
          <w:szCs w:val="28"/>
        </w:rPr>
      </w:pPr>
    </w:p>
    <w:p>
      <w:pPr>
        <w:snapToGrid w:val="0"/>
        <w:spacing w:line="300" w:lineRule="auto"/>
        <w:rPr>
          <w:rFonts w:ascii="仿宋" w:hAnsi="仿宋" w:eastAsia="仿宋"/>
          <w:b/>
          <w:sz w:val="30"/>
          <w:szCs w:val="30"/>
        </w:rPr>
      </w:pPr>
      <w:r>
        <w:rPr>
          <w:rFonts w:hint="eastAsia" w:ascii="仿宋" w:hAnsi="仿宋" w:eastAsia="仿宋"/>
          <w:b/>
          <w:sz w:val="32"/>
          <w:szCs w:val="32"/>
        </w:rPr>
        <w:t>注：</w:t>
      </w:r>
      <w:r>
        <w:rPr>
          <w:rFonts w:hint="eastAsia" w:ascii="仿宋" w:hAnsi="仿宋" w:eastAsia="仿宋"/>
          <w:b/>
          <w:sz w:val="30"/>
          <w:szCs w:val="30"/>
        </w:rPr>
        <w:t>1.有限价标注的，报价时不得突破，否则作为无效响应。</w:t>
      </w:r>
    </w:p>
    <w:p>
      <w:pPr>
        <w:snapToGrid w:val="0"/>
        <w:spacing w:line="300" w:lineRule="auto"/>
        <w:rPr>
          <w:rFonts w:ascii="仿宋" w:hAnsi="仿宋" w:eastAsia="仿宋"/>
          <w:sz w:val="30"/>
          <w:szCs w:val="30"/>
        </w:rPr>
      </w:pPr>
      <w:r>
        <w:rPr>
          <w:rFonts w:hint="eastAsia" w:ascii="仿宋" w:hAnsi="仿宋" w:eastAsia="仿宋"/>
          <w:b/>
          <w:sz w:val="30"/>
          <w:szCs w:val="30"/>
        </w:rPr>
        <w:t xml:space="preserve">     2.大写金额和小写金额不一致的，以大写金额为准。</w:t>
      </w:r>
    </w:p>
    <w:p>
      <w:pPr>
        <w:snapToGrid w:val="0"/>
        <w:spacing w:line="300" w:lineRule="auto"/>
        <w:rPr>
          <w:rFonts w:ascii="仿宋" w:hAnsi="仿宋" w:eastAsia="仿宋"/>
          <w:b/>
          <w:sz w:val="28"/>
          <w:szCs w:val="28"/>
        </w:rPr>
      </w:pPr>
    </w:p>
    <w:p>
      <w:pPr>
        <w:snapToGrid w:val="0"/>
        <w:spacing w:line="300" w:lineRule="auto"/>
        <w:rPr>
          <w:rFonts w:ascii="仿宋" w:hAnsi="仿宋" w:eastAsia="仿宋"/>
          <w:sz w:val="28"/>
          <w:szCs w:val="28"/>
        </w:rPr>
      </w:pPr>
      <w:r>
        <w:rPr>
          <w:rFonts w:hint="eastAsia" w:ascii="仿宋" w:hAnsi="仿宋" w:eastAsia="仿宋"/>
          <w:sz w:val="28"/>
          <w:szCs w:val="28"/>
        </w:rPr>
        <w:t>法定代表人或委托代理人（签名）：</w:t>
      </w:r>
    </w:p>
    <w:p>
      <w:pPr>
        <w:snapToGrid w:val="0"/>
        <w:spacing w:line="300" w:lineRule="auto"/>
        <w:rPr>
          <w:rFonts w:ascii="仿宋" w:hAnsi="仿宋" w:eastAsia="仿宋"/>
          <w:sz w:val="28"/>
          <w:szCs w:val="28"/>
        </w:rPr>
      </w:pPr>
      <w:r>
        <w:rPr>
          <w:rFonts w:hint="eastAsia" w:ascii="仿宋" w:hAnsi="仿宋" w:eastAsia="仿宋"/>
          <w:sz w:val="28"/>
          <w:szCs w:val="28"/>
        </w:rPr>
        <w:t>报价人名称（公章）：</w:t>
      </w:r>
    </w:p>
    <w:p>
      <w:pPr>
        <w:snapToGrid w:val="0"/>
        <w:spacing w:line="300" w:lineRule="auto"/>
        <w:rPr>
          <w:rFonts w:ascii="仿宋" w:hAnsi="仿宋" w:eastAsia="仿宋"/>
          <w:sz w:val="28"/>
          <w:szCs w:val="28"/>
        </w:rPr>
      </w:pPr>
      <w:r>
        <w:rPr>
          <w:rFonts w:hint="eastAsia" w:ascii="仿宋" w:hAnsi="仿宋" w:eastAsia="仿宋"/>
          <w:sz w:val="28"/>
          <w:szCs w:val="28"/>
        </w:rPr>
        <w:t>报价人：</w:t>
      </w:r>
    </w:p>
    <w:p>
      <w:pPr>
        <w:snapToGrid w:val="0"/>
        <w:spacing w:line="300" w:lineRule="auto"/>
        <w:rPr>
          <w:rFonts w:ascii="仿宋" w:hAnsi="仿宋" w:eastAsia="仿宋"/>
          <w:sz w:val="28"/>
          <w:szCs w:val="28"/>
        </w:rPr>
      </w:pPr>
      <w:r>
        <w:rPr>
          <w:rFonts w:hint="eastAsia" w:ascii="仿宋" w:hAnsi="仿宋" w:eastAsia="仿宋"/>
          <w:sz w:val="28"/>
          <w:szCs w:val="28"/>
        </w:rPr>
        <w:t>报价人联系电话：</w:t>
      </w:r>
    </w:p>
    <w:p>
      <w:pPr>
        <w:snapToGrid w:val="0"/>
        <w:spacing w:line="300" w:lineRule="auto"/>
        <w:rPr>
          <w:rFonts w:ascii="仿宋" w:hAnsi="仿宋" w:eastAsia="仿宋"/>
          <w:sz w:val="28"/>
          <w:szCs w:val="28"/>
        </w:rPr>
      </w:pPr>
      <w:r>
        <w:rPr>
          <w:rFonts w:hint="eastAsia" w:ascii="仿宋" w:hAnsi="仿宋" w:eastAsia="仿宋"/>
          <w:sz w:val="28"/>
          <w:szCs w:val="28"/>
        </w:rPr>
        <w:t>付款承诺：</w:t>
      </w:r>
    </w:p>
    <w:p>
      <w:pPr>
        <w:snapToGrid w:val="0"/>
        <w:spacing w:line="300" w:lineRule="auto"/>
        <w:rPr>
          <w:rFonts w:ascii="仿宋" w:hAnsi="仿宋" w:eastAsia="仿宋"/>
          <w:sz w:val="28"/>
          <w:szCs w:val="28"/>
        </w:rPr>
      </w:pPr>
      <w:r>
        <w:rPr>
          <w:rFonts w:hint="eastAsia" w:ascii="仿宋" w:hAnsi="仿宋" w:eastAsia="仿宋"/>
          <w:sz w:val="28"/>
          <w:szCs w:val="28"/>
        </w:rPr>
        <w:t>其它承诺：</w:t>
      </w:r>
    </w:p>
    <w:p>
      <w:pPr>
        <w:rPr>
          <w:rFonts w:ascii="仿宋" w:hAnsi="仿宋" w:eastAsia="仿宋"/>
        </w:rPr>
      </w:pPr>
    </w:p>
    <w:p>
      <w:pPr>
        <w:widowControl/>
        <w:shd w:val="clear" w:color="auto" w:fill="FFFFFF"/>
        <w:spacing w:line="440" w:lineRule="exact"/>
        <w:jc w:val="left"/>
        <w:rPr>
          <w:rFonts w:ascii="仿宋" w:hAnsi="仿宋" w:eastAsia="仿宋" w:cs="宋体"/>
          <w:color w:val="333333"/>
          <w:kern w:val="0"/>
          <w:sz w:val="28"/>
          <w:szCs w:val="28"/>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36E74"/>
    <w:rsid w:val="0008109B"/>
    <w:rsid w:val="000D0D8B"/>
    <w:rsid w:val="000D5C27"/>
    <w:rsid w:val="000E674D"/>
    <w:rsid w:val="000F3612"/>
    <w:rsid w:val="001B3254"/>
    <w:rsid w:val="00300433"/>
    <w:rsid w:val="003251A6"/>
    <w:rsid w:val="004C0666"/>
    <w:rsid w:val="00636E74"/>
    <w:rsid w:val="007D7FE3"/>
    <w:rsid w:val="00861C48"/>
    <w:rsid w:val="008F116D"/>
    <w:rsid w:val="00927744"/>
    <w:rsid w:val="00940237"/>
    <w:rsid w:val="009A0A64"/>
    <w:rsid w:val="009F5608"/>
    <w:rsid w:val="00B02E06"/>
    <w:rsid w:val="00CA3B82"/>
    <w:rsid w:val="00CB7123"/>
    <w:rsid w:val="00CE4722"/>
    <w:rsid w:val="00D17DB2"/>
    <w:rsid w:val="00D86FF3"/>
    <w:rsid w:val="00E62737"/>
    <w:rsid w:val="00EA106C"/>
    <w:rsid w:val="00F61444"/>
    <w:rsid w:val="00F62D27"/>
    <w:rsid w:val="00F667C3"/>
    <w:rsid w:val="00FD4781"/>
    <w:rsid w:val="00FF37A4"/>
    <w:rsid w:val="02AB0941"/>
    <w:rsid w:val="04AB674B"/>
    <w:rsid w:val="05095CB8"/>
    <w:rsid w:val="051C799F"/>
    <w:rsid w:val="054D707F"/>
    <w:rsid w:val="055B7809"/>
    <w:rsid w:val="05737E05"/>
    <w:rsid w:val="07A1652D"/>
    <w:rsid w:val="08512B88"/>
    <w:rsid w:val="08CB7EDE"/>
    <w:rsid w:val="09227C4C"/>
    <w:rsid w:val="0BB44275"/>
    <w:rsid w:val="0F420753"/>
    <w:rsid w:val="0F615697"/>
    <w:rsid w:val="111B5F14"/>
    <w:rsid w:val="12265D3A"/>
    <w:rsid w:val="188527A2"/>
    <w:rsid w:val="18C82169"/>
    <w:rsid w:val="18CE6F8F"/>
    <w:rsid w:val="1BB75018"/>
    <w:rsid w:val="1BD2213B"/>
    <w:rsid w:val="1C2B429F"/>
    <w:rsid w:val="1C4209FC"/>
    <w:rsid w:val="1CF57E24"/>
    <w:rsid w:val="1D214B62"/>
    <w:rsid w:val="1D710427"/>
    <w:rsid w:val="1D734BD5"/>
    <w:rsid w:val="1D8204B6"/>
    <w:rsid w:val="2045770A"/>
    <w:rsid w:val="208D1003"/>
    <w:rsid w:val="276D6DCD"/>
    <w:rsid w:val="27805FBC"/>
    <w:rsid w:val="27CB10BD"/>
    <w:rsid w:val="28300939"/>
    <w:rsid w:val="28B0114F"/>
    <w:rsid w:val="2A275371"/>
    <w:rsid w:val="2A2A097C"/>
    <w:rsid w:val="2A77252D"/>
    <w:rsid w:val="2BB50FE4"/>
    <w:rsid w:val="2E087145"/>
    <w:rsid w:val="2F2D088A"/>
    <w:rsid w:val="2F627E2A"/>
    <w:rsid w:val="30313057"/>
    <w:rsid w:val="304444C8"/>
    <w:rsid w:val="31944576"/>
    <w:rsid w:val="31D20CBD"/>
    <w:rsid w:val="340E16D9"/>
    <w:rsid w:val="35DF57D2"/>
    <w:rsid w:val="381B658D"/>
    <w:rsid w:val="38AF2912"/>
    <w:rsid w:val="3B8962C2"/>
    <w:rsid w:val="3DA5569E"/>
    <w:rsid w:val="3E9E45D5"/>
    <w:rsid w:val="3FF948E9"/>
    <w:rsid w:val="40B41052"/>
    <w:rsid w:val="44E6731E"/>
    <w:rsid w:val="45ED4171"/>
    <w:rsid w:val="46BF51C9"/>
    <w:rsid w:val="49C4715E"/>
    <w:rsid w:val="4A36016B"/>
    <w:rsid w:val="4AEC73C7"/>
    <w:rsid w:val="4AF4653C"/>
    <w:rsid w:val="4B443FA2"/>
    <w:rsid w:val="4C0C4385"/>
    <w:rsid w:val="4E4D3EF8"/>
    <w:rsid w:val="4F2035BE"/>
    <w:rsid w:val="4F9968F0"/>
    <w:rsid w:val="4FCE52B8"/>
    <w:rsid w:val="4FCF109F"/>
    <w:rsid w:val="51E72EA1"/>
    <w:rsid w:val="55D96DFE"/>
    <w:rsid w:val="5662170E"/>
    <w:rsid w:val="5915058F"/>
    <w:rsid w:val="5BC46118"/>
    <w:rsid w:val="5C913404"/>
    <w:rsid w:val="5D2326A2"/>
    <w:rsid w:val="5D7C62B1"/>
    <w:rsid w:val="5E39324F"/>
    <w:rsid w:val="5E847993"/>
    <w:rsid w:val="63C03FB5"/>
    <w:rsid w:val="63FD1731"/>
    <w:rsid w:val="655A2316"/>
    <w:rsid w:val="66811B16"/>
    <w:rsid w:val="6728607A"/>
    <w:rsid w:val="675D57CC"/>
    <w:rsid w:val="67FE5C57"/>
    <w:rsid w:val="68126C46"/>
    <w:rsid w:val="68A556CB"/>
    <w:rsid w:val="69DE4E04"/>
    <w:rsid w:val="6A5B0572"/>
    <w:rsid w:val="6AF131DF"/>
    <w:rsid w:val="6B7768A3"/>
    <w:rsid w:val="6C6B7AF6"/>
    <w:rsid w:val="6CCF54EA"/>
    <w:rsid w:val="6E0F7AC0"/>
    <w:rsid w:val="6F0635ED"/>
    <w:rsid w:val="708A46C3"/>
    <w:rsid w:val="711D4D6C"/>
    <w:rsid w:val="71660EEE"/>
    <w:rsid w:val="72902453"/>
    <w:rsid w:val="738315B2"/>
    <w:rsid w:val="752462DB"/>
    <w:rsid w:val="79C87210"/>
    <w:rsid w:val="7A292246"/>
    <w:rsid w:val="7A473F05"/>
    <w:rsid w:val="7B9253C6"/>
    <w:rsid w:val="7DBA51B7"/>
    <w:rsid w:val="7EB265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szCs w:val="22"/>
    </w:rPr>
  </w:style>
  <w:style w:type="paragraph" w:styleId="3">
    <w:name w:val="Body Text Indent"/>
    <w:basedOn w:val="1"/>
    <w:qFormat/>
    <w:uiPriority w:val="0"/>
    <w:pPr>
      <w:spacing w:line="360" w:lineRule="auto"/>
      <w:ind w:left="720" w:hanging="720" w:hangingChars="300"/>
    </w:pPr>
    <w:rPr>
      <w:sz w:val="24"/>
      <w:szCs w:val="20"/>
    </w:rPr>
  </w:style>
  <w:style w:type="paragraph" w:styleId="4">
    <w:name w:val="Date"/>
    <w:basedOn w:val="1"/>
    <w:next w:val="1"/>
    <w:qFormat/>
    <w:uiPriority w:val="0"/>
    <w:rPr>
      <w:szCs w:val="20"/>
    </w:rPr>
  </w:style>
  <w:style w:type="paragraph" w:styleId="5">
    <w:name w:val="Body Text Indent 2"/>
    <w:basedOn w:val="1"/>
    <w:qFormat/>
    <w:uiPriority w:val="0"/>
    <w:pPr>
      <w:ind w:firstLine="480"/>
    </w:pPr>
    <w:rPr>
      <w:rFonts w:ascii="宋体" w:hAnsi="宋体"/>
      <w:sz w:val="30"/>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6"/>
    <w:qFormat/>
    <w:uiPriority w:val="0"/>
    <w:rPr>
      <w:rFonts w:ascii="Times New Roman" w:hAnsi="Times New Roman" w:eastAsia="宋体" w:cs="Times New Roman"/>
      <w:kern w:val="2"/>
      <w:sz w:val="18"/>
      <w:szCs w:val="18"/>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Pages>
  <Words>429</Words>
  <Characters>2449</Characters>
  <Lines>20</Lines>
  <Paragraphs>5</Paragraphs>
  <TotalTime>14</TotalTime>
  <ScaleCrop>false</ScaleCrop>
  <LinksUpToDate>false</LinksUpToDate>
  <CharactersWithSpaces>2873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2020-07-15T07:39:00Z</dcterms:created>
  <dc:creator>Administrator</dc:creator>
  <cp:lastModifiedBy>Administrator</cp:lastModifiedBy>
  <cp:lastPrinted>2021-11-19T08:29:43Z</cp:lastPrinted>
  <dcterms:modified xsi:type="dcterms:W3CDTF">2021-11-19T08:30:07Z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3AF74B6526F644168521177B499BEC4D</vt:lpwstr>
  </property>
</Properties>
</file>