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b/>
          <w:color w:val="000000"/>
          <w:sz w:val="36"/>
          <w:szCs w:val="36"/>
        </w:rPr>
      </w:pPr>
      <w:r>
        <w:rPr>
          <w:rFonts w:hint="eastAsia" w:ascii="黑体" w:hAnsi="黑体" w:eastAsia="黑体" w:cs="黑体"/>
          <w:b/>
          <w:color w:val="333333"/>
          <w:kern w:val="0"/>
          <w:sz w:val="36"/>
          <w:szCs w:val="36"/>
        </w:rPr>
        <w:t>《海安市人民医脑自动牵开器采购》项</w:t>
      </w:r>
      <w:r>
        <w:rPr>
          <w:rFonts w:hint="eastAsia" w:ascii="黑体" w:hAnsi="黑体" w:eastAsia="黑体" w:cs="黑体"/>
          <w:b/>
          <w:color w:val="000000"/>
          <w:sz w:val="36"/>
          <w:szCs w:val="36"/>
        </w:rPr>
        <w:t>目</w:t>
      </w:r>
    </w:p>
    <w:p>
      <w:pPr>
        <w:widowControl/>
        <w:shd w:val="clear" w:color="auto" w:fill="FFFFFF"/>
        <w:spacing w:line="500" w:lineRule="exact"/>
        <w:jc w:val="center"/>
        <w:rPr>
          <w:rFonts w:ascii="黑体" w:hAnsi="黑体" w:eastAsia="黑体" w:cs="黑体"/>
          <w:b/>
          <w:color w:val="333333"/>
          <w:kern w:val="0"/>
          <w:sz w:val="36"/>
          <w:szCs w:val="36"/>
        </w:rPr>
      </w:pPr>
      <w:r>
        <w:rPr>
          <w:rFonts w:hint="eastAsia" w:ascii="黑体" w:hAnsi="黑体" w:eastAsia="黑体" w:cs="黑体"/>
          <w:b/>
          <w:color w:val="333333"/>
          <w:kern w:val="0"/>
          <w:sz w:val="36"/>
          <w:szCs w:val="36"/>
        </w:rPr>
        <w:t>询价采购文件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hint="default" w:ascii="仿宋" w:hAnsi="仿宋" w:cs="宋体" w:eastAsiaTheme="majorEastAsia"/>
          <w:color w:val="333333"/>
          <w:kern w:val="0"/>
          <w:sz w:val="28"/>
          <w:szCs w:val="28"/>
          <w:lang w:val="en-US" w:eastAsia="zh-CN"/>
        </w:rPr>
      </w:pPr>
      <w:r>
        <w:rPr>
          <w:rFonts w:hint="eastAsia" w:ascii="仿宋" w:hAnsi="仿宋" w:eastAsia="仿宋" w:cs="宋体"/>
          <w:color w:val="333333"/>
          <w:kern w:val="0"/>
          <w:sz w:val="28"/>
          <w:szCs w:val="28"/>
        </w:rPr>
        <w:t>1.项目编号：</w:t>
      </w:r>
      <w:r>
        <w:rPr>
          <w:rFonts w:hint="eastAsia" w:asciiTheme="majorEastAsia" w:hAnsiTheme="majorEastAsia" w:eastAsiaTheme="majorEastAsia" w:cstheme="majorEastAsia"/>
          <w:sz w:val="28"/>
          <w:szCs w:val="28"/>
        </w:rPr>
        <w:t>HARY-YXZBK-0</w:t>
      </w:r>
      <w:r>
        <w:rPr>
          <w:rFonts w:hint="eastAsia" w:asciiTheme="majorEastAsia" w:hAnsiTheme="majorEastAsia" w:eastAsiaTheme="majorEastAsia" w:cstheme="majorEastAsia"/>
          <w:sz w:val="28"/>
          <w:szCs w:val="28"/>
          <w:lang w:val="en-US" w:eastAsia="zh-CN"/>
        </w:rPr>
        <w:t>85</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3.项目内容：脑自动牵开器一台采购</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2.1法定条件</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2.1.1具有独立承担民事责任的能力（提供法人或者其他组织的营业执照）</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2.1.2具有良好的商业信誉和健全的财务会计制度（提供参加本次谈判前的会计报表，必须含资产负债表、利润表等的证明材料）；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2.1.3具有履行合同所必需的设备和专业技术能力（根据项目需求提供履行合同所必需的设备和专业技术能力的证明材料）；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2.1.4有依法缴纳税收和社会保障资金、基本养老保险等相关材料，应由税务、社保或银行部门出具（提供上一年度的证明资料）；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2.1.5参加政府采购活动前三年内，在经营活动中没有重大违法记录的书面声明（提供参加本次开标前三年内在经营活动中没有重大违法记录的书面声明）；</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2.1.6法律、行政法规规定的其他条件（项目实施所必须的许可资质证明材料）。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2.2 根据采购项目的特殊要求，供应商具备相关经营资质，并提供证明文件。</w:t>
      </w:r>
    </w:p>
    <w:p>
      <w:pPr>
        <w:widowControl/>
        <w:shd w:val="clear" w:color="auto" w:fill="FFFFFF"/>
        <w:spacing w:line="50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三、项目具体需求</w:t>
      </w:r>
    </w:p>
    <w:p>
      <w:pPr>
        <w:spacing w:line="500" w:lineRule="exact"/>
        <w:ind w:firstLine="275" w:firstLineChars="98"/>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3.1</w:t>
      </w:r>
      <w:r>
        <w:rPr>
          <w:rFonts w:hint="eastAsia" w:ascii="仿宋" w:hAnsi="仿宋" w:eastAsia="仿宋" w:cs="宋体"/>
          <w:color w:val="333333"/>
          <w:kern w:val="0"/>
          <w:sz w:val="28"/>
          <w:szCs w:val="28"/>
        </w:rPr>
        <w:t>本项目采用询价采购，按照技术规格、质量、服务等方面相同的条件下，价格最低者确定为供应商。（项目报价单详见附件1）</w:t>
      </w:r>
    </w:p>
    <w:p>
      <w:pPr>
        <w:snapToGrid w:val="0"/>
        <w:spacing w:line="300" w:lineRule="auto"/>
        <w:ind w:firstLine="280" w:firstLineChars="100"/>
        <w:contextualSpacing/>
        <w:rPr>
          <w:rFonts w:ascii="仿宋" w:hAnsi="仿宋" w:eastAsia="仿宋" w:cs="宋体"/>
          <w:color w:val="333333"/>
          <w:kern w:val="0"/>
          <w:sz w:val="28"/>
          <w:szCs w:val="28"/>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3.2采购标的的数量：</w:t>
      </w:r>
    </w:p>
    <w:p>
      <w:pPr>
        <w:spacing w:line="400" w:lineRule="exact"/>
        <w:ind w:left="140"/>
        <w:rPr>
          <w:rFonts w:ascii="仿宋_GB2312" w:hAnsi="仿宋_GB2312" w:eastAsia="仿宋_GB2312" w:cs="仿宋_GB2312"/>
          <w:sz w:val="32"/>
          <w:szCs w:val="32"/>
        </w:rPr>
      </w:pPr>
    </w:p>
    <w:tbl>
      <w:tblPr>
        <w:tblStyle w:val="8"/>
        <w:tblW w:w="7147" w:type="dxa"/>
        <w:tblCellSpacing w:w="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7"/>
        <w:gridCol w:w="274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tblCellSpacing w:w="0" w:type="dxa"/>
        </w:trPr>
        <w:tc>
          <w:tcPr>
            <w:tcW w:w="967"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745"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产品名称</w:t>
            </w:r>
          </w:p>
        </w:tc>
        <w:tc>
          <w:tcPr>
            <w:tcW w:w="1320"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数量</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预算价（元）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blCellSpacing w:w="0" w:type="dxa"/>
        </w:trPr>
        <w:tc>
          <w:tcPr>
            <w:tcW w:w="967" w:type="dxa"/>
            <w:vAlign w:val="center"/>
          </w:tcPr>
          <w:p>
            <w:pPr>
              <w:widowControl/>
              <w:spacing w:line="360" w:lineRule="auto"/>
              <w:jc w:val="center"/>
              <w:rPr>
                <w:rFonts w:ascii="仿宋" w:hAnsi="仿宋" w:eastAsia="仿宋" w:cs="宋体"/>
                <w:b/>
                <w:bCs/>
                <w:color w:val="000000"/>
                <w:kern w:val="0"/>
                <w:sz w:val="24"/>
              </w:rPr>
            </w:pPr>
            <w:r>
              <w:rPr>
                <w:rFonts w:hint="eastAsia" w:ascii="仿宋" w:hAnsi="仿宋" w:eastAsia="仿宋" w:cs="宋体"/>
                <w:b/>
                <w:bCs/>
                <w:color w:val="000000"/>
                <w:kern w:val="0"/>
                <w:sz w:val="24"/>
              </w:rPr>
              <w:t>1</w:t>
            </w:r>
          </w:p>
        </w:tc>
        <w:tc>
          <w:tcPr>
            <w:tcW w:w="274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脑自动牵开器</w:t>
            </w:r>
          </w:p>
        </w:tc>
        <w:tc>
          <w:tcPr>
            <w:tcW w:w="1320"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1台</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200000</w:t>
            </w:r>
          </w:p>
        </w:tc>
      </w:tr>
    </w:tbl>
    <w:p>
      <w:pPr>
        <w:spacing w:line="500" w:lineRule="exact"/>
        <w:ind w:firstLine="315" w:firstLineChars="98"/>
        <w:rPr>
          <w:rFonts w:ascii="仿宋_GB2312" w:hAnsi="仿宋_GB2312" w:eastAsia="仿宋_GB2312" w:cs="仿宋_GB2312"/>
          <w:b/>
          <w:bCs/>
          <w:sz w:val="32"/>
          <w:szCs w:val="32"/>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3.3采购标的的技术规格：</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1、技术参数特点</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（1）用于脑外科开颅各种检查和手术。</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（2）全套产品为合金亚光材质，不反光，球状牙槽连接器可与任何品牌的手术床匹配。</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（3）张力臂连接头可旋转，可同时连接两根以上张力臂。</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2、具体配置及要求</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2.1固定底座1个</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ab/>
      </w:r>
      <w:r>
        <w:rPr>
          <w:rFonts w:hint="eastAsia" w:ascii="仿宋" w:hAnsi="仿宋" w:eastAsia="仿宋" w:cs="宋体"/>
          <w:b/>
          <w:bCs/>
          <w:color w:val="333333"/>
          <w:kern w:val="0"/>
          <w:sz w:val="28"/>
          <w:szCs w:val="28"/>
        </w:rPr>
        <w:t>球状卡头式连接器可连接任何品牌的手术床，用于固定操纵杆。球窝活动关节能360度自由调节。底座转接口视手术床需要，可与普通手术床连接，插杆间距可调；附调节扳手。</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 xml:space="preserve">2.2张力臂连接头一套 </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（1）固定在支撑杆可360°旋转。底座及连接器均由固定把手锁闭，内置弹簧卡锁，接口为耐磨的不锈钢螺纹，固定牢固，经久耐用，方便维修。</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 xml:space="preserve">2.3张力臂2根 </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1）*表面经特殊工艺处理，保证在手术灯光下不反光。重量≤1KG，每根臂有≥39个球节，球节大小一致均匀，避免粗细不均匀导致球节易损。整个蛇形臂弯曲半径≥43.75px，方便任何方向角度的固定，且8小时连续工作固定力稳定。</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（2）具有各种长度供选择，能够提供头架牵开、床旁牵开等多种牵开方式。软轴固定硬度可以连续调节。蛇臂球节大小均匀一致，避免粗细不均导致球节易损。</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（5）*进口品牌，并且实现国内原厂维修，维修时间在30天内。</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2.4支撑杆1个 ，分两段，固定在手术床边。</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2.5脑压板接头2个 ,可连接扁平脑压板。</w:t>
      </w:r>
    </w:p>
    <w:p>
      <w:pPr>
        <w:pStyle w:val="4"/>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2.6脑压板2个，宽度：11mm+13mm</w:t>
      </w:r>
    </w:p>
    <w:p/>
    <w:p>
      <w:pPr>
        <w:spacing w:line="400" w:lineRule="exact"/>
        <w:rPr>
          <w:rFonts w:ascii="宋体"/>
          <w:szCs w:val="21"/>
        </w:rPr>
      </w:pP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3.4其它额外评标因素和标准：</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3.4.1、招标要求中的“</w:t>
      </w:r>
      <w:r>
        <w:rPr>
          <w:sz w:val="28"/>
          <w:szCs w:val="28"/>
        </w:rPr>
        <w:t>*</w:t>
      </w:r>
      <w:r>
        <w:rPr>
          <w:rFonts w:hint="eastAsia" w:ascii="仿宋" w:hAnsi="仿宋" w:eastAsia="仿宋" w:cs="宋体"/>
          <w:color w:val="333333"/>
          <w:kern w:val="0"/>
          <w:sz w:val="28"/>
          <w:szCs w:val="28"/>
        </w:rPr>
        <w:t>” 号项必须满足，任何一项不符，则废标。其他一般条款偏离达到3项废标。</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3.4.2、投标分项报价表与技术规格偏离表必须严格按照招标文件的要求制作，如果未按照招标文件的要求制作，由此产生的投标被否决的风险由投标人承担。 </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3.5采购标的需满足的服务标准、期限、效率等要求：</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响应时间：成交供应商应在收到买方电话4小时内响应，24小时到达现场。</w:t>
      </w:r>
    </w:p>
    <w:p>
      <w:pPr>
        <w:snapToGrid w:val="0"/>
        <w:spacing w:line="300" w:lineRule="auto"/>
        <w:ind w:firstLine="281" w:firstLineChars="100"/>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3.6采购标的的验收标准：</w:t>
      </w:r>
      <w:r>
        <w:rPr>
          <w:rFonts w:hint="eastAsia" w:ascii="仿宋" w:hAnsi="仿宋" w:eastAsia="仿宋" w:cs="宋体"/>
          <w:color w:val="333333"/>
          <w:kern w:val="0"/>
          <w:sz w:val="28"/>
          <w:szCs w:val="28"/>
        </w:rPr>
        <w:t>严格根据采购文件、响应文件以及国家相关规定、标准进行验收。</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四、项目其他要求</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4.1签定合同日期：自成交公告结束后</w:t>
      </w:r>
      <w:r>
        <w:rPr>
          <w:rFonts w:hint="eastAsia" w:ascii="仿宋" w:hAnsi="仿宋" w:eastAsia="仿宋" w:cs="宋体"/>
          <w:color w:val="333333"/>
          <w:kern w:val="0"/>
          <w:sz w:val="28"/>
          <w:szCs w:val="28"/>
          <w:u w:val="single"/>
        </w:rPr>
        <w:t xml:space="preserve">15 </w:t>
      </w:r>
      <w:r>
        <w:rPr>
          <w:rFonts w:hint="eastAsia" w:ascii="仿宋" w:hAnsi="仿宋" w:eastAsia="仿宋" w:cs="宋体"/>
          <w:color w:val="333333"/>
          <w:kern w:val="0"/>
          <w:sz w:val="28"/>
          <w:szCs w:val="28"/>
        </w:rPr>
        <w:t>日内按时签约。</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4.2交货期（服务时间）：自合同签定之日起 </w:t>
      </w:r>
      <w:r>
        <w:rPr>
          <w:rFonts w:hint="eastAsia" w:ascii="仿宋" w:hAnsi="仿宋" w:eastAsia="仿宋" w:cs="宋体"/>
          <w:color w:val="333333"/>
          <w:kern w:val="0"/>
          <w:sz w:val="28"/>
          <w:szCs w:val="28"/>
          <w:u w:val="single"/>
        </w:rPr>
        <w:t xml:space="preserve">30 </w:t>
      </w:r>
      <w:r>
        <w:rPr>
          <w:rFonts w:hint="eastAsia" w:ascii="仿宋" w:hAnsi="仿宋" w:eastAsia="仿宋" w:cs="宋体"/>
          <w:color w:val="333333"/>
          <w:kern w:val="0"/>
          <w:sz w:val="28"/>
          <w:szCs w:val="28"/>
        </w:rPr>
        <w:t>日内。</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4.3交货（服务）地点：买方指定地点。</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4.4质保期限（自交货并验收合格之日起计）：质保期</w:t>
      </w:r>
      <w:r>
        <w:rPr>
          <w:rFonts w:hint="eastAsia" w:ascii="仿宋" w:hAnsi="仿宋" w:eastAsia="仿宋" w:cs="宋体"/>
          <w:color w:val="333333"/>
          <w:kern w:val="0"/>
          <w:sz w:val="28"/>
          <w:szCs w:val="28"/>
          <w:u w:val="single"/>
        </w:rPr>
        <w:t>1</w:t>
      </w:r>
      <w:r>
        <w:rPr>
          <w:rFonts w:hint="eastAsia" w:ascii="仿宋" w:hAnsi="仿宋" w:eastAsia="仿宋" w:cs="宋体"/>
          <w:color w:val="333333"/>
          <w:kern w:val="0"/>
          <w:sz w:val="28"/>
          <w:szCs w:val="28"/>
        </w:rPr>
        <w:t>年，终身维护。</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4.5验收方案、售后服务及其他（含安装、调试、培训、维护等）：成交供应商先期进行场地勘察，在交货期内将上述采购货物送到买方指定地点，并负责安装调试、提供技术援助、人员培训。</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设备验收时间：设备试用后3个工作日内进行验收。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验收方法：买方收货时应对产品的数量、型号、规格、包装等进行初步验收，验收无误应签署收货单；卖方需免费派工程师到达现场协助验收工作，保证货物经正确安装、正常运转和保养，在其使用寿命期内具有符合质量要求和产品说明书的性能。</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五、付款时间和条件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货物交付验收合格、良好运行一个月后付货款的90%，质保期后无质量问题付清余款，不计息。</w:t>
      </w:r>
    </w:p>
    <w:p>
      <w:pPr>
        <w:widowControl/>
        <w:shd w:val="clear" w:color="auto" w:fill="FFFFFF"/>
        <w:spacing w:line="48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lang w:val="en-US" w:eastAsia="zh-CN"/>
        </w:rPr>
        <w:t>六</w:t>
      </w:r>
      <w:r>
        <w:rPr>
          <w:rFonts w:hint="eastAsia" w:ascii="仿宋" w:hAnsi="仿宋" w:eastAsia="仿宋" w:cs="宋体"/>
          <w:b/>
          <w:bCs/>
          <w:color w:val="333333"/>
          <w:kern w:val="0"/>
          <w:sz w:val="28"/>
          <w:szCs w:val="28"/>
        </w:rPr>
        <w:t>、特别提醒</w:t>
      </w: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请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widowControl/>
        <w:shd w:val="clear" w:color="auto" w:fill="FFFFFF"/>
        <w:spacing w:line="440" w:lineRule="exact"/>
        <w:jc w:val="left"/>
        <w:rPr>
          <w:rFonts w:ascii="仿宋" w:hAnsi="仿宋" w:eastAsia="仿宋" w:cs="宋体"/>
          <w:color w:val="333333"/>
          <w:kern w:val="0"/>
          <w:sz w:val="28"/>
          <w:szCs w:val="28"/>
        </w:rPr>
      </w:pPr>
    </w:p>
    <w:p>
      <w:pPr>
        <w:widowControl/>
        <w:shd w:val="clear" w:color="auto" w:fill="FFFFFF"/>
        <w:spacing w:line="440" w:lineRule="exact"/>
        <w:jc w:val="left"/>
        <w:rPr>
          <w:rFonts w:ascii="仿宋" w:hAnsi="仿宋" w:eastAsia="仿宋" w:cs="宋体"/>
          <w:color w:val="333333"/>
          <w:kern w:val="0"/>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ascii="仿宋" w:hAnsi="仿宋" w:eastAsia="仿宋"/>
          <w:b/>
          <w:sz w:val="28"/>
          <w:szCs w:val="28"/>
        </w:rPr>
      </w:pPr>
      <w:bookmarkStart w:id="0" w:name="_GoBack"/>
      <w:bookmarkEnd w:id="0"/>
      <w:r>
        <w:rPr>
          <w:rFonts w:hint="eastAsia" w:ascii="仿宋" w:hAnsi="仿宋" w:eastAsia="仿宋"/>
          <w:b/>
          <w:sz w:val="28"/>
          <w:szCs w:val="28"/>
        </w:rPr>
        <w:t>附件1</w:t>
      </w:r>
    </w:p>
    <w:p>
      <w:pPr>
        <w:snapToGrid w:val="0"/>
        <w:spacing w:line="300" w:lineRule="auto"/>
        <w:jc w:val="center"/>
        <w:rPr>
          <w:rFonts w:ascii="仿宋" w:hAnsi="仿宋" w:eastAsia="仿宋"/>
          <w:b/>
          <w:sz w:val="36"/>
          <w:szCs w:val="36"/>
        </w:rPr>
      </w:pPr>
      <w:r>
        <w:rPr>
          <w:rFonts w:hint="eastAsia" w:ascii="仿宋" w:hAnsi="仿宋" w:eastAsia="仿宋"/>
          <w:b/>
          <w:sz w:val="36"/>
          <w:szCs w:val="36"/>
        </w:rPr>
        <w:t>海安市人民医院询价采购报价单</w:t>
      </w:r>
    </w:p>
    <w:p>
      <w:pPr>
        <w:adjustRightInd w:val="0"/>
        <w:spacing w:line="440" w:lineRule="exact"/>
        <w:ind w:firstLine="482"/>
        <w:jc w:val="center"/>
        <w:rPr>
          <w:rFonts w:ascii="仿宋" w:hAnsi="仿宋" w:eastAsia="仿宋"/>
          <w:b/>
          <w:sz w:val="32"/>
          <w:szCs w:val="32"/>
        </w:rPr>
      </w:pPr>
      <w:r>
        <w:rPr>
          <w:rFonts w:hint="eastAsia" w:ascii="仿宋" w:hAnsi="仿宋" w:eastAsia="仿宋"/>
          <w:b/>
          <w:sz w:val="32"/>
          <w:szCs w:val="32"/>
        </w:rPr>
        <w:t xml:space="preserve"> XXXXX项目</w:t>
      </w:r>
    </w:p>
    <w:p>
      <w:pPr>
        <w:adjustRightInd w:val="0"/>
        <w:spacing w:line="440" w:lineRule="exact"/>
        <w:ind w:firstLine="482"/>
        <w:jc w:val="center"/>
        <w:rPr>
          <w:rFonts w:ascii="仿宋" w:hAnsi="仿宋" w:eastAsia="仿宋"/>
          <w:b/>
          <w:sz w:val="32"/>
          <w:szCs w:val="32"/>
        </w:rPr>
      </w:pPr>
    </w:p>
    <w:p>
      <w:pPr>
        <w:spacing w:line="500" w:lineRule="exact"/>
        <w:rPr>
          <w:rFonts w:ascii="仿宋" w:hAnsi="仿宋" w:eastAsia="仿宋"/>
          <w:b/>
          <w:sz w:val="36"/>
          <w:szCs w:val="36"/>
        </w:rPr>
      </w:pPr>
      <w:r>
        <w:rPr>
          <w:rFonts w:hint="eastAsia" w:ascii="仿宋" w:hAnsi="仿宋" w:eastAsia="仿宋"/>
          <w:sz w:val="28"/>
          <w:szCs w:val="28"/>
        </w:rPr>
        <w:t xml:space="preserve">项目编号： </w:t>
      </w:r>
      <w:r>
        <w:rPr>
          <w:rFonts w:hint="eastAsia" w:ascii="仿宋" w:hAnsi="仿宋" w:eastAsia="仿宋"/>
          <w:b/>
          <w:sz w:val="36"/>
          <w:szCs w:val="36"/>
        </w:rPr>
        <w:t>XXXXX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260"/>
        <w:gridCol w:w="1260"/>
        <w:gridCol w:w="1155"/>
        <w:gridCol w:w="115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序号</w:t>
            </w:r>
          </w:p>
        </w:tc>
        <w:tc>
          <w:tcPr>
            <w:tcW w:w="1995"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项目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品牌 规格 配置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数量</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单价</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金额</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959" w:type="dxa"/>
            <w:noWrap/>
            <w:vAlign w:val="center"/>
          </w:tcPr>
          <w:p>
            <w:pPr>
              <w:snapToGrid w:val="0"/>
              <w:spacing w:line="300" w:lineRule="auto"/>
              <w:ind w:firstLine="138" w:firstLineChars="49"/>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1</w:t>
            </w: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r>
              <w:rPr>
                <w:rFonts w:hint="eastAsia" w:ascii="仿宋" w:hAnsi="仿宋" w:eastAsia="仿宋"/>
                <w:sz w:val="28"/>
                <w:szCs w:val="28"/>
              </w:rPr>
              <w:t xml:space="preserve">合  计       </w:t>
            </w: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7784" w:type="dxa"/>
            <w:gridSpan w:val="6"/>
            <w:noWrap/>
          </w:tcPr>
          <w:p>
            <w:pPr>
              <w:snapToGrid w:val="0"/>
              <w:spacing w:line="300" w:lineRule="auto"/>
              <w:rPr>
                <w:rFonts w:ascii="仿宋" w:hAnsi="仿宋" w:eastAsia="仿宋"/>
                <w:b/>
                <w:sz w:val="28"/>
                <w:szCs w:val="28"/>
              </w:rPr>
            </w:pPr>
            <w:r>
              <w:rPr>
                <w:rFonts w:hint="eastAsia" w:ascii="仿宋" w:hAnsi="仿宋" w:eastAsia="仿宋"/>
                <w:sz w:val="28"/>
                <w:szCs w:val="28"/>
              </w:rPr>
              <w:t>总报价（大写）</w:t>
            </w:r>
          </w:p>
        </w:tc>
      </w:tr>
    </w:tbl>
    <w:p>
      <w:pPr>
        <w:snapToGrid w:val="0"/>
        <w:spacing w:line="300" w:lineRule="auto"/>
        <w:rPr>
          <w:rFonts w:ascii="仿宋" w:hAnsi="仿宋" w:eastAsia="仿宋"/>
          <w:b/>
          <w:sz w:val="28"/>
          <w:szCs w:val="28"/>
        </w:rPr>
      </w:pPr>
    </w:p>
    <w:p>
      <w:pPr>
        <w:snapToGrid w:val="0"/>
        <w:spacing w:line="300" w:lineRule="auto"/>
        <w:rPr>
          <w:rFonts w:ascii="仿宋" w:hAnsi="仿宋" w:eastAsia="仿宋"/>
          <w:b/>
          <w:sz w:val="30"/>
          <w:szCs w:val="30"/>
        </w:rPr>
      </w:pPr>
      <w:r>
        <w:rPr>
          <w:rFonts w:hint="eastAsia" w:ascii="仿宋" w:hAnsi="仿宋" w:eastAsia="仿宋"/>
          <w:b/>
          <w:sz w:val="32"/>
          <w:szCs w:val="32"/>
        </w:rPr>
        <w:t>注：</w:t>
      </w:r>
      <w:r>
        <w:rPr>
          <w:rFonts w:hint="eastAsia" w:ascii="仿宋" w:hAnsi="仿宋" w:eastAsia="仿宋"/>
          <w:b/>
          <w:sz w:val="30"/>
          <w:szCs w:val="30"/>
        </w:rPr>
        <w:t>1.有限价标注的，报价时不得突破，否则作为无效响应。</w:t>
      </w:r>
    </w:p>
    <w:p>
      <w:pPr>
        <w:snapToGrid w:val="0"/>
        <w:spacing w:line="300" w:lineRule="auto"/>
        <w:rPr>
          <w:rFonts w:ascii="仿宋" w:hAnsi="仿宋" w:eastAsia="仿宋"/>
          <w:sz w:val="30"/>
          <w:szCs w:val="30"/>
        </w:rPr>
      </w:pPr>
      <w:r>
        <w:rPr>
          <w:rFonts w:hint="eastAsia" w:ascii="仿宋" w:hAnsi="仿宋" w:eastAsia="仿宋"/>
          <w:b/>
          <w:sz w:val="30"/>
          <w:szCs w:val="30"/>
        </w:rPr>
        <w:t xml:space="preserve">     2.大写金额和小写金额不一致的，以大写金额为准。</w:t>
      </w:r>
    </w:p>
    <w:p>
      <w:pPr>
        <w:snapToGrid w:val="0"/>
        <w:spacing w:line="300" w:lineRule="auto"/>
        <w:rPr>
          <w:rFonts w:ascii="仿宋" w:hAnsi="仿宋" w:eastAsia="仿宋"/>
          <w:b/>
          <w:sz w:val="28"/>
          <w:szCs w:val="28"/>
        </w:rPr>
      </w:pPr>
    </w:p>
    <w:p>
      <w:pPr>
        <w:snapToGrid w:val="0"/>
        <w:spacing w:line="300" w:lineRule="auto"/>
        <w:rPr>
          <w:rFonts w:ascii="仿宋" w:hAnsi="仿宋" w:eastAsia="仿宋"/>
          <w:sz w:val="28"/>
          <w:szCs w:val="28"/>
        </w:rPr>
      </w:pPr>
      <w:r>
        <w:rPr>
          <w:rFonts w:hint="eastAsia" w:ascii="仿宋" w:hAnsi="仿宋" w:eastAsia="仿宋"/>
          <w:sz w:val="28"/>
          <w:szCs w:val="28"/>
        </w:rPr>
        <w:t>法定代表人或委托代理人（签名）：</w:t>
      </w:r>
    </w:p>
    <w:p>
      <w:pPr>
        <w:snapToGrid w:val="0"/>
        <w:spacing w:line="300" w:lineRule="auto"/>
        <w:rPr>
          <w:rFonts w:ascii="仿宋" w:hAnsi="仿宋" w:eastAsia="仿宋"/>
          <w:sz w:val="28"/>
          <w:szCs w:val="28"/>
        </w:rPr>
      </w:pPr>
      <w:r>
        <w:rPr>
          <w:rFonts w:hint="eastAsia" w:ascii="仿宋" w:hAnsi="仿宋" w:eastAsia="仿宋"/>
          <w:sz w:val="28"/>
          <w:szCs w:val="28"/>
        </w:rPr>
        <w:t>报价人名称（公章）：</w:t>
      </w:r>
    </w:p>
    <w:p>
      <w:pPr>
        <w:snapToGrid w:val="0"/>
        <w:spacing w:line="300" w:lineRule="auto"/>
        <w:rPr>
          <w:rFonts w:ascii="仿宋" w:hAnsi="仿宋" w:eastAsia="仿宋"/>
          <w:sz w:val="28"/>
          <w:szCs w:val="28"/>
        </w:rPr>
      </w:pPr>
      <w:r>
        <w:rPr>
          <w:rFonts w:hint="eastAsia" w:ascii="仿宋" w:hAnsi="仿宋" w:eastAsia="仿宋"/>
          <w:sz w:val="28"/>
          <w:szCs w:val="28"/>
        </w:rPr>
        <w:t>报价人：</w:t>
      </w:r>
    </w:p>
    <w:p>
      <w:pPr>
        <w:snapToGrid w:val="0"/>
        <w:spacing w:line="300" w:lineRule="auto"/>
        <w:rPr>
          <w:rFonts w:ascii="仿宋" w:hAnsi="仿宋" w:eastAsia="仿宋"/>
          <w:sz w:val="28"/>
          <w:szCs w:val="28"/>
        </w:rPr>
      </w:pPr>
      <w:r>
        <w:rPr>
          <w:rFonts w:hint="eastAsia" w:ascii="仿宋" w:hAnsi="仿宋" w:eastAsia="仿宋"/>
          <w:sz w:val="28"/>
          <w:szCs w:val="28"/>
        </w:rPr>
        <w:t>报价人联系电话：</w:t>
      </w:r>
    </w:p>
    <w:p>
      <w:pPr>
        <w:snapToGrid w:val="0"/>
        <w:spacing w:line="300" w:lineRule="auto"/>
        <w:rPr>
          <w:rFonts w:ascii="仿宋" w:hAnsi="仿宋" w:eastAsia="仿宋"/>
          <w:sz w:val="28"/>
          <w:szCs w:val="28"/>
        </w:rPr>
      </w:pPr>
      <w:r>
        <w:rPr>
          <w:rFonts w:hint="eastAsia" w:ascii="仿宋" w:hAnsi="仿宋" w:eastAsia="仿宋"/>
          <w:sz w:val="28"/>
          <w:szCs w:val="28"/>
        </w:rPr>
        <w:t>付款承诺：</w:t>
      </w:r>
    </w:p>
    <w:p>
      <w:pPr>
        <w:snapToGrid w:val="0"/>
        <w:spacing w:line="300" w:lineRule="auto"/>
        <w:rPr>
          <w:rFonts w:ascii="仿宋" w:hAnsi="仿宋" w:eastAsia="仿宋"/>
          <w:sz w:val="28"/>
          <w:szCs w:val="28"/>
        </w:rPr>
      </w:pPr>
      <w:r>
        <w:rPr>
          <w:rFonts w:hint="eastAsia" w:ascii="仿宋" w:hAnsi="仿宋" w:eastAsia="仿宋"/>
          <w:sz w:val="28"/>
          <w:szCs w:val="28"/>
        </w:rPr>
        <w:t>其它承诺：</w:t>
      </w:r>
    </w:p>
    <w:p>
      <w:pPr>
        <w:rPr>
          <w:rFonts w:ascii="仿宋" w:hAnsi="仿宋" w:eastAsia="仿宋"/>
        </w:rPr>
      </w:pPr>
    </w:p>
    <w:p>
      <w:pPr>
        <w:widowControl/>
        <w:shd w:val="clear" w:color="auto" w:fill="FFFFFF"/>
        <w:spacing w:line="440" w:lineRule="exact"/>
        <w:jc w:val="left"/>
        <w:rPr>
          <w:rFonts w:ascii="仿宋" w:hAnsi="仿宋" w:eastAsia="仿宋" w:cs="宋体"/>
          <w:color w:val="333333"/>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6E74"/>
    <w:rsid w:val="0008109B"/>
    <w:rsid w:val="000D0D8B"/>
    <w:rsid w:val="000D5C27"/>
    <w:rsid w:val="000F3612"/>
    <w:rsid w:val="002D4F11"/>
    <w:rsid w:val="00300433"/>
    <w:rsid w:val="003251A6"/>
    <w:rsid w:val="004C0666"/>
    <w:rsid w:val="00636E74"/>
    <w:rsid w:val="00717A2B"/>
    <w:rsid w:val="007D7FE3"/>
    <w:rsid w:val="00861C48"/>
    <w:rsid w:val="008F116D"/>
    <w:rsid w:val="00927744"/>
    <w:rsid w:val="0093673C"/>
    <w:rsid w:val="00940237"/>
    <w:rsid w:val="009A0A64"/>
    <w:rsid w:val="009C2C11"/>
    <w:rsid w:val="009F5608"/>
    <w:rsid w:val="00A8284F"/>
    <w:rsid w:val="00CB7123"/>
    <w:rsid w:val="00CE4722"/>
    <w:rsid w:val="00D17DB2"/>
    <w:rsid w:val="00D86FF3"/>
    <w:rsid w:val="00DF2E0E"/>
    <w:rsid w:val="00F61444"/>
    <w:rsid w:val="00F62D27"/>
    <w:rsid w:val="00F667C3"/>
    <w:rsid w:val="00FD4781"/>
    <w:rsid w:val="00FF37A4"/>
    <w:rsid w:val="02AB0941"/>
    <w:rsid w:val="04AB674B"/>
    <w:rsid w:val="05095CB8"/>
    <w:rsid w:val="051C799F"/>
    <w:rsid w:val="054D707F"/>
    <w:rsid w:val="055B7809"/>
    <w:rsid w:val="05737E05"/>
    <w:rsid w:val="07A1652D"/>
    <w:rsid w:val="08512B88"/>
    <w:rsid w:val="08CB7EDE"/>
    <w:rsid w:val="09227C4C"/>
    <w:rsid w:val="0BB44275"/>
    <w:rsid w:val="0F420753"/>
    <w:rsid w:val="0F615697"/>
    <w:rsid w:val="12265D3A"/>
    <w:rsid w:val="188527A2"/>
    <w:rsid w:val="18C82169"/>
    <w:rsid w:val="18CE6F8F"/>
    <w:rsid w:val="1B731044"/>
    <w:rsid w:val="1BB75018"/>
    <w:rsid w:val="1BD2213B"/>
    <w:rsid w:val="1C2B429F"/>
    <w:rsid w:val="1C4209FC"/>
    <w:rsid w:val="1CF57E24"/>
    <w:rsid w:val="1D214B62"/>
    <w:rsid w:val="1D710427"/>
    <w:rsid w:val="1D734BD5"/>
    <w:rsid w:val="1D8204B6"/>
    <w:rsid w:val="1F8F3E1B"/>
    <w:rsid w:val="2045770A"/>
    <w:rsid w:val="208D1003"/>
    <w:rsid w:val="276D6DCD"/>
    <w:rsid w:val="27805FBC"/>
    <w:rsid w:val="27CB10BD"/>
    <w:rsid w:val="28B0114F"/>
    <w:rsid w:val="2A275371"/>
    <w:rsid w:val="2A2A097C"/>
    <w:rsid w:val="2A77252D"/>
    <w:rsid w:val="2BB50FE4"/>
    <w:rsid w:val="2E087145"/>
    <w:rsid w:val="2F2D088A"/>
    <w:rsid w:val="2F627E2A"/>
    <w:rsid w:val="2FFA7643"/>
    <w:rsid w:val="30313057"/>
    <w:rsid w:val="304444C8"/>
    <w:rsid w:val="31944576"/>
    <w:rsid w:val="31D20CBD"/>
    <w:rsid w:val="340E16D9"/>
    <w:rsid w:val="35DF57D2"/>
    <w:rsid w:val="381B658D"/>
    <w:rsid w:val="38AF2912"/>
    <w:rsid w:val="3B8962C2"/>
    <w:rsid w:val="3DA5569E"/>
    <w:rsid w:val="3E9E45D5"/>
    <w:rsid w:val="3FF948E9"/>
    <w:rsid w:val="40B41052"/>
    <w:rsid w:val="44E6731E"/>
    <w:rsid w:val="456D35DD"/>
    <w:rsid w:val="45ED4171"/>
    <w:rsid w:val="46BF51C9"/>
    <w:rsid w:val="49C4715E"/>
    <w:rsid w:val="4A36016B"/>
    <w:rsid w:val="4AEC73C7"/>
    <w:rsid w:val="4AF4653C"/>
    <w:rsid w:val="4B443FA2"/>
    <w:rsid w:val="4C0C4385"/>
    <w:rsid w:val="4E4D3EF8"/>
    <w:rsid w:val="4F2035BE"/>
    <w:rsid w:val="4F9968F0"/>
    <w:rsid w:val="4FCE52B8"/>
    <w:rsid w:val="4FCF109F"/>
    <w:rsid w:val="51E72EA1"/>
    <w:rsid w:val="55D96DFE"/>
    <w:rsid w:val="5662170E"/>
    <w:rsid w:val="5915058F"/>
    <w:rsid w:val="5BC46118"/>
    <w:rsid w:val="5C913404"/>
    <w:rsid w:val="5D2326A2"/>
    <w:rsid w:val="5D7C62B1"/>
    <w:rsid w:val="5E39324F"/>
    <w:rsid w:val="5E847993"/>
    <w:rsid w:val="63C03FB5"/>
    <w:rsid w:val="63FD1731"/>
    <w:rsid w:val="655A2316"/>
    <w:rsid w:val="66811B16"/>
    <w:rsid w:val="6728607A"/>
    <w:rsid w:val="675D57CC"/>
    <w:rsid w:val="67FE5C57"/>
    <w:rsid w:val="68126C46"/>
    <w:rsid w:val="68A556CB"/>
    <w:rsid w:val="6A5B0572"/>
    <w:rsid w:val="6AF131DF"/>
    <w:rsid w:val="6B7768A3"/>
    <w:rsid w:val="6C6B7AF6"/>
    <w:rsid w:val="6CCF54EA"/>
    <w:rsid w:val="6E0F7AC0"/>
    <w:rsid w:val="6F0635ED"/>
    <w:rsid w:val="705471E8"/>
    <w:rsid w:val="708A46C3"/>
    <w:rsid w:val="711D4D6C"/>
    <w:rsid w:val="71660EEE"/>
    <w:rsid w:val="72902453"/>
    <w:rsid w:val="738315B2"/>
    <w:rsid w:val="752462DB"/>
    <w:rsid w:val="79C87210"/>
    <w:rsid w:val="7A292246"/>
    <w:rsid w:val="7A473F05"/>
    <w:rsid w:val="7B9253C6"/>
    <w:rsid w:val="7DBA51B7"/>
    <w:rsid w:val="7EB265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2"/>
    </w:rPr>
  </w:style>
  <w:style w:type="paragraph" w:styleId="3">
    <w:name w:val="Body Text Indent"/>
    <w:basedOn w:val="1"/>
    <w:qFormat/>
    <w:uiPriority w:val="0"/>
    <w:pPr>
      <w:spacing w:line="360" w:lineRule="auto"/>
      <w:ind w:left="720" w:hanging="720" w:hangingChars="300"/>
    </w:pPr>
    <w:rPr>
      <w:sz w:val="24"/>
      <w:szCs w:val="20"/>
    </w:rPr>
  </w:style>
  <w:style w:type="paragraph" w:styleId="4">
    <w:name w:val="Date"/>
    <w:basedOn w:val="1"/>
    <w:next w:val="1"/>
    <w:qFormat/>
    <w:uiPriority w:val="0"/>
    <w:rPr>
      <w:szCs w:val="20"/>
    </w:rPr>
  </w:style>
  <w:style w:type="paragraph" w:styleId="5">
    <w:name w:val="Body Text Indent 2"/>
    <w:basedOn w:val="1"/>
    <w:qFormat/>
    <w:uiPriority w:val="0"/>
    <w:pPr>
      <w:ind w:firstLine="480"/>
    </w:pPr>
    <w:rPr>
      <w:rFonts w:ascii="宋体" w:hAnsi="宋体"/>
      <w:sz w:val="3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qFormat/>
    <w:uiPriority w:val="0"/>
    <w:rPr>
      <w:rFonts w:ascii="Times New Roman" w:hAnsi="Times New Roman" w:eastAsia="宋体" w:cs="Times New Roman"/>
      <w:kern w:val="2"/>
      <w:sz w:val="18"/>
      <w:szCs w:val="18"/>
    </w:rPr>
  </w:style>
  <w:style w:type="paragraph" w:styleId="12">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368</Words>
  <Characters>2104</Characters>
  <Lines>17</Lines>
  <Paragraphs>4</Paragraphs>
  <TotalTime>15</TotalTime>
  <ScaleCrop>false</ScaleCrop>
  <LinksUpToDate>false</LinksUpToDate>
  <CharactersWithSpaces>2468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2020-10-09T06:58:00Z</cp:lastPrinted>
  <dcterms:modified xsi:type="dcterms:W3CDTF">2021-11-22T00:12:41Z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3AF74B6526F644168521177B499BEC4D</vt:lpwstr>
  </property>
</Properties>
</file>