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空压机</w:t>
      </w:r>
      <w:r>
        <w:rPr>
          <w:rFonts w:hint="eastAsia" w:ascii="黑体" w:hAnsi="黑体" w:eastAsia="黑体" w:cs="黑体"/>
          <w:b/>
          <w:color w:val="333333"/>
          <w:kern w:val="0"/>
          <w:sz w:val="36"/>
          <w:szCs w:val="36"/>
        </w:rPr>
        <w:t>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89</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3.项目内容：空压机5台采购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空压机</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99000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一.性能特点：</w:t>
      </w:r>
    </w:p>
    <w:p>
      <w:pPr>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1.体积小、噪音低。</w:t>
      </w:r>
    </w:p>
    <w:p>
      <w:pPr>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2.输出气体无油、纯净、干燥。</w:t>
      </w:r>
    </w:p>
    <w:p>
      <w:pPr>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3.使用寿命长、价格低。</w:t>
      </w:r>
    </w:p>
    <w:p>
      <w:pPr>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4.采用美国进口Thomas压缩泵，有过热保护。</w:t>
      </w:r>
    </w:p>
    <w:p>
      <w:pPr>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二.技术参数：</w:t>
      </w:r>
      <w:r>
        <w:rPr>
          <w:rFonts w:ascii="仿宋" w:hAnsi="仿宋" w:eastAsia="仿宋" w:cs="宋体"/>
          <w:b/>
          <w:bCs/>
          <w:color w:val="333333"/>
          <w:kern w:val="0"/>
          <w:sz w:val="28"/>
          <w:szCs w:val="28"/>
        </w:rPr>
        <w:t xml:space="preserve"> </w:t>
      </w:r>
    </w:p>
    <w:p>
      <w:pPr>
        <w:pStyle w:val="12"/>
        <w:numPr>
          <w:ilvl w:val="0"/>
          <w:numId w:val="1"/>
        </w:numPr>
        <w:ind w:firstLineChars="0"/>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最高排气压力:</w:t>
      </w:r>
      <w:r>
        <w:rPr>
          <w:rFonts w:hint="eastAsia" w:ascii="宋体" w:hAnsi="宋体" w:cs="宋体"/>
          <w:b/>
          <w:bCs/>
          <w:color w:val="333333"/>
          <w:kern w:val="0"/>
          <w:sz w:val="28"/>
          <w:szCs w:val="28"/>
        </w:rPr>
        <w:t> </w:t>
      </w:r>
      <w:r>
        <w:rPr>
          <w:rFonts w:hint="eastAsia" w:ascii="仿宋" w:hAnsi="仿宋" w:eastAsia="仿宋" w:cs="宋体"/>
          <w:b/>
          <w:bCs/>
          <w:color w:val="333333"/>
          <w:kern w:val="0"/>
          <w:sz w:val="28"/>
          <w:szCs w:val="28"/>
        </w:rPr>
        <w:t>0.7MPa ；</w:t>
      </w:r>
    </w:p>
    <w:p>
      <w:pPr>
        <w:pStyle w:val="12"/>
        <w:numPr>
          <w:ilvl w:val="0"/>
          <w:numId w:val="1"/>
        </w:numPr>
        <w:ind w:firstLineChars="0"/>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输出压力 :0.3MPa ～0.4MPa ；</w:t>
      </w:r>
    </w:p>
    <w:p>
      <w:pPr>
        <w:pStyle w:val="12"/>
        <w:numPr>
          <w:ilvl w:val="0"/>
          <w:numId w:val="1"/>
        </w:numPr>
        <w:ind w:firstLineChars="0"/>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最大流量:</w:t>
      </w:r>
      <w:r>
        <w:rPr>
          <w:rFonts w:hint="eastAsia" w:ascii="宋体" w:hAnsi="宋体" w:cs="宋体"/>
          <w:b/>
          <w:bCs/>
          <w:color w:val="333333"/>
          <w:kern w:val="0"/>
          <w:sz w:val="28"/>
          <w:szCs w:val="28"/>
        </w:rPr>
        <w:t> </w:t>
      </w:r>
      <w:r>
        <w:rPr>
          <w:rFonts w:ascii="仿宋" w:hAnsi="仿宋" w:eastAsia="仿宋" w:cs="宋体"/>
          <w:b/>
          <w:bCs/>
          <w:color w:val="333333"/>
          <w:kern w:val="0"/>
          <w:sz w:val="28"/>
          <w:szCs w:val="28"/>
        </w:rPr>
        <w:t>≥</w:t>
      </w:r>
      <w:r>
        <w:rPr>
          <w:rFonts w:hint="eastAsia" w:ascii="仿宋" w:hAnsi="仿宋" w:eastAsia="仿宋" w:cs="宋体"/>
          <w:b/>
          <w:bCs/>
          <w:color w:val="333333"/>
          <w:kern w:val="0"/>
          <w:sz w:val="28"/>
          <w:szCs w:val="28"/>
        </w:rPr>
        <w:t>60L/min；</w:t>
      </w:r>
    </w:p>
    <w:p>
      <w:pPr>
        <w:pStyle w:val="12"/>
        <w:numPr>
          <w:ilvl w:val="0"/>
          <w:numId w:val="1"/>
        </w:numPr>
        <w:ind w:firstLineChars="0"/>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整机噪音值:  &lt;52dB（A）；</w:t>
      </w:r>
    </w:p>
    <w:p>
      <w:pPr>
        <w:pStyle w:val="12"/>
        <w:numPr>
          <w:ilvl w:val="0"/>
          <w:numId w:val="1"/>
        </w:numPr>
        <w:ind w:firstLineChars="0"/>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电源:单向交流</w:t>
      </w:r>
      <w:r>
        <w:rPr>
          <w:rFonts w:hint="eastAsia" w:ascii="宋体" w:hAnsi="宋体" w:cs="宋体"/>
          <w:b/>
          <w:bCs/>
          <w:color w:val="333333"/>
          <w:kern w:val="0"/>
          <w:sz w:val="28"/>
          <w:szCs w:val="28"/>
        </w:rPr>
        <w:t> </w:t>
      </w:r>
      <w:r>
        <w:rPr>
          <w:rFonts w:hint="eastAsia" w:ascii="仿宋" w:hAnsi="仿宋" w:eastAsia="仿宋" w:cs="宋体"/>
          <w:b/>
          <w:bCs/>
          <w:color w:val="333333"/>
          <w:kern w:val="0"/>
          <w:sz w:val="28"/>
          <w:szCs w:val="28"/>
        </w:rPr>
        <w:t>AC220V</w:t>
      </w:r>
      <w:r>
        <w:rPr>
          <w:rFonts w:hint="eastAsia" w:ascii="宋体" w:hAnsi="宋体" w:cs="宋体"/>
          <w:b/>
          <w:bCs/>
          <w:color w:val="333333"/>
          <w:kern w:val="0"/>
          <w:sz w:val="28"/>
          <w:szCs w:val="28"/>
        </w:rPr>
        <w:t> </w:t>
      </w:r>
      <w:r>
        <w:rPr>
          <w:rFonts w:hint="eastAsia" w:ascii="仿宋" w:hAnsi="仿宋" w:eastAsia="仿宋" w:cs="仿宋"/>
          <w:b/>
          <w:bCs/>
          <w:color w:val="333333"/>
          <w:kern w:val="0"/>
          <w:sz w:val="28"/>
          <w:szCs w:val="28"/>
        </w:rPr>
        <w:t>50Hz</w:t>
      </w:r>
      <w:r>
        <w:rPr>
          <w:rFonts w:hint="eastAsia" w:ascii="宋体" w:hAnsi="宋体" w:cs="宋体"/>
          <w:b/>
          <w:bCs/>
          <w:color w:val="333333"/>
          <w:kern w:val="0"/>
          <w:sz w:val="28"/>
          <w:szCs w:val="28"/>
        </w:rPr>
        <w:t> </w:t>
      </w:r>
      <w:r>
        <w:rPr>
          <w:rFonts w:hint="eastAsia" w:ascii="仿宋" w:hAnsi="仿宋" w:eastAsia="仿宋" w:cs="宋体"/>
          <w:b/>
          <w:bCs/>
          <w:color w:val="333333"/>
          <w:kern w:val="0"/>
          <w:sz w:val="28"/>
          <w:szCs w:val="28"/>
        </w:rPr>
        <w:t>；</w:t>
      </w:r>
    </w:p>
    <w:p>
      <w:pPr>
        <w:pStyle w:val="12"/>
        <w:numPr>
          <w:ilvl w:val="0"/>
          <w:numId w:val="1"/>
        </w:numPr>
        <w:ind w:firstLineChars="0"/>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整机额定消耗功率</w:t>
      </w:r>
      <w:r>
        <w:rPr>
          <w:rFonts w:hint="eastAsia" w:ascii="宋体" w:hAnsi="宋体" w:cs="宋体"/>
          <w:b/>
          <w:bCs/>
          <w:color w:val="333333"/>
          <w:kern w:val="0"/>
          <w:sz w:val="28"/>
          <w:szCs w:val="28"/>
        </w:rPr>
        <w:t> </w:t>
      </w:r>
      <w:r>
        <w:rPr>
          <w:rFonts w:hint="eastAsia" w:ascii="仿宋" w:hAnsi="仿宋" w:eastAsia="仿宋" w:cs="宋体"/>
          <w:b/>
          <w:bCs/>
          <w:color w:val="333333"/>
          <w:kern w:val="0"/>
          <w:sz w:val="28"/>
          <w:szCs w:val="28"/>
        </w:rPr>
        <w:t>250VA；</w:t>
      </w:r>
    </w:p>
    <w:p/>
    <w:p>
      <w:pPr>
        <w:spacing w:line="400" w:lineRule="exact"/>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3.4.1、一般条款偏离达到</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bookmarkStart w:id="0" w:name="_GoBack"/>
      <w:bookmarkEnd w:id="0"/>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16146"/>
    <w:multiLevelType w:val="multilevel"/>
    <w:tmpl w:val="1D5161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3C0247"/>
    <w:rsid w:val="004C0666"/>
    <w:rsid w:val="004C57D3"/>
    <w:rsid w:val="00636E74"/>
    <w:rsid w:val="007D7FE3"/>
    <w:rsid w:val="00861C48"/>
    <w:rsid w:val="008F116D"/>
    <w:rsid w:val="00927744"/>
    <w:rsid w:val="00940237"/>
    <w:rsid w:val="009A0A64"/>
    <w:rsid w:val="009F5608"/>
    <w:rsid w:val="00CB7123"/>
    <w:rsid w:val="00CE4722"/>
    <w:rsid w:val="00D17DB2"/>
    <w:rsid w:val="00D86FF3"/>
    <w:rsid w:val="00EF62F5"/>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2536AC4"/>
    <w:rsid w:val="188527A2"/>
    <w:rsid w:val="18C82169"/>
    <w:rsid w:val="18CE6F8F"/>
    <w:rsid w:val="1A3D3BF8"/>
    <w:rsid w:val="1BB75018"/>
    <w:rsid w:val="1BD2213B"/>
    <w:rsid w:val="1C2B429F"/>
    <w:rsid w:val="1C4209FC"/>
    <w:rsid w:val="1CF57E24"/>
    <w:rsid w:val="1D214B62"/>
    <w:rsid w:val="1D710427"/>
    <w:rsid w:val="1D734BD5"/>
    <w:rsid w:val="1D8204B6"/>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AE6A0C"/>
    <w:rsid w:val="4FCE52B8"/>
    <w:rsid w:val="4FCF109F"/>
    <w:rsid w:val="50804906"/>
    <w:rsid w:val="51E72EA1"/>
    <w:rsid w:val="52C76B87"/>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289</Words>
  <Characters>1653</Characters>
  <Lines>13</Lines>
  <Paragraphs>3</Paragraphs>
  <TotalTime>6</TotalTime>
  <ScaleCrop>false</ScaleCrop>
  <LinksUpToDate>false</LinksUpToDate>
  <CharactersWithSpaces>1939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2021-11-23T02:14:50Z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3AF74B6526F644168521177B499BEC4D</vt:lpwstr>
  </property>
</Properties>
</file>