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cs="黑体"/>
          <w:b/>
          <w:color w:val="000000"/>
          <w:sz w:val="36"/>
          <w:szCs w:val="36"/>
        </w:rPr>
      </w:pPr>
      <w:r>
        <w:rPr>
          <w:rFonts w:hint="eastAsia" w:ascii="黑体" w:hAnsi="黑体" w:eastAsia="黑体" w:cs="黑体"/>
          <w:b/>
          <w:color w:val="333333"/>
          <w:kern w:val="0"/>
          <w:sz w:val="36"/>
          <w:szCs w:val="36"/>
        </w:rPr>
        <w:t>《海安市人民医院</w:t>
      </w:r>
      <w:r>
        <w:rPr>
          <w:rFonts w:hint="eastAsia" w:ascii="黑体" w:hAnsi="黑体" w:eastAsia="黑体" w:cs="黑体"/>
          <w:b/>
          <w:color w:val="333333"/>
          <w:kern w:val="0"/>
          <w:sz w:val="36"/>
          <w:szCs w:val="36"/>
          <w:lang w:val="en-US" w:eastAsia="zh-CN"/>
        </w:rPr>
        <w:t>血透室水处理设备移机</w:t>
      </w:r>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r>
        <w:rPr>
          <w:rFonts w:hint="eastAsia" w:ascii="黑体" w:hAnsi="黑体" w:eastAsia="黑体" w:cs="黑体"/>
          <w:b/>
          <w:color w:val="333333"/>
          <w:kern w:val="0"/>
          <w:sz w:val="36"/>
          <w:szCs w:val="36"/>
        </w:rPr>
        <w:t>》</w:t>
      </w:r>
    </w:p>
    <w:p>
      <w:pPr>
        <w:widowControl/>
        <w:shd w:val="clear" w:color="auto" w:fill="FFFFFF"/>
        <w:spacing w:line="500" w:lineRule="exact"/>
        <w:jc w:val="center"/>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邀请比价</w:t>
      </w:r>
      <w:r>
        <w:rPr>
          <w:rFonts w:hint="eastAsia" w:ascii="黑体" w:hAnsi="黑体" w:eastAsia="黑体" w:cs="黑体"/>
          <w:b/>
          <w:color w:val="333333"/>
          <w:kern w:val="0"/>
          <w:sz w:val="36"/>
          <w:szCs w:val="36"/>
        </w:rPr>
        <w:t>采购</w:t>
      </w:r>
      <w:r>
        <w:rPr>
          <w:rFonts w:hint="eastAsia" w:ascii="黑体" w:hAnsi="黑体" w:eastAsia="黑体" w:cs="黑体"/>
          <w:b/>
          <w:color w:val="333333"/>
          <w:kern w:val="0"/>
          <w:sz w:val="36"/>
          <w:szCs w:val="36"/>
          <w:lang w:val="en-US" w:eastAsia="zh-CN"/>
        </w:rPr>
        <w:t>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1.项目编号：HARY-YXZBK-0</w:t>
      </w:r>
      <w:r>
        <w:rPr>
          <w:rFonts w:hint="eastAsia" w:ascii="仿宋" w:hAnsi="仿宋" w:eastAsia="仿宋" w:cs="宋体"/>
          <w:color w:val="333333"/>
          <w:kern w:val="0"/>
          <w:sz w:val="28"/>
          <w:szCs w:val="28"/>
          <w:lang w:val="en-US" w:eastAsia="zh-CN"/>
        </w:rPr>
        <w:t>96</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48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3.项目内容：</w:t>
      </w:r>
      <w:r>
        <w:rPr>
          <w:rFonts w:hint="eastAsia" w:ascii="仿宋" w:hAnsi="仿宋" w:eastAsia="仿宋" w:cs="宋体"/>
          <w:color w:val="333333"/>
          <w:kern w:val="0"/>
          <w:sz w:val="28"/>
          <w:szCs w:val="28"/>
          <w:lang w:eastAsia="zh-CN"/>
        </w:rPr>
        <w:t>本项目为水处理设备搬迁至血透室新址，</w:t>
      </w:r>
      <w:r>
        <w:rPr>
          <w:rFonts w:hint="eastAsia" w:ascii="仿宋" w:hAnsi="仿宋" w:eastAsia="仿宋" w:cs="宋体"/>
          <w:color w:val="333333"/>
          <w:kern w:val="0"/>
          <w:sz w:val="28"/>
          <w:szCs w:val="28"/>
          <w:lang w:val="en-US" w:eastAsia="zh-CN"/>
        </w:rPr>
        <w:t>主要</w:t>
      </w:r>
      <w:r>
        <w:rPr>
          <w:rFonts w:hint="eastAsia" w:ascii="仿宋" w:hAnsi="仿宋" w:eastAsia="仿宋" w:cs="宋体"/>
          <w:color w:val="333333"/>
          <w:kern w:val="0"/>
          <w:sz w:val="28"/>
          <w:szCs w:val="28"/>
          <w:lang w:eastAsia="zh-CN"/>
        </w:rPr>
        <w:t>包括：</w:t>
      </w:r>
    </w:p>
    <w:p>
      <w:pPr>
        <w:widowControl/>
        <w:shd w:val="clear" w:color="auto" w:fill="FFFFFF"/>
        <w:spacing w:line="480" w:lineRule="exact"/>
        <w:ind w:firstLine="280" w:firstLineChars="1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供给管道采购安装、透析废液排水管道采购安装；</w:t>
      </w:r>
      <w:r>
        <w:rPr>
          <w:rFonts w:hint="eastAsia" w:ascii="仿宋" w:hAnsi="仿宋" w:eastAsia="仿宋" w:cs="宋体"/>
          <w:color w:val="333333"/>
          <w:kern w:val="0"/>
          <w:sz w:val="28"/>
          <w:szCs w:val="28"/>
          <w:lang w:eastAsia="zh-CN"/>
        </w:rPr>
        <w:t>水处理设备</w:t>
      </w:r>
      <w:r>
        <w:rPr>
          <w:rFonts w:hint="eastAsia" w:ascii="仿宋" w:hAnsi="仿宋" w:eastAsia="仿宋" w:cs="宋体"/>
          <w:color w:val="333333"/>
          <w:kern w:val="0"/>
          <w:sz w:val="28"/>
          <w:szCs w:val="28"/>
          <w:lang w:val="en-US" w:eastAsia="zh-CN"/>
        </w:rPr>
        <w:t>2套主机组移机。（具体内容、要求见附件）</w:t>
      </w:r>
    </w:p>
    <w:p>
      <w:pPr>
        <w:pStyle w:val="2"/>
        <w:ind w:left="0" w:leftChars="0" w:firstLine="0" w:firstLineChars="0"/>
        <w:jc w:val="left"/>
        <w:rPr>
          <w:rFonts w:hint="default"/>
          <w:lang w:val="en-US" w:eastAsia="zh-CN"/>
        </w:rPr>
      </w:pPr>
      <w:r>
        <w:rPr>
          <w:rFonts w:hint="eastAsia" w:ascii="仿宋" w:hAnsi="仿宋" w:eastAsia="仿宋" w:cs="宋体"/>
          <w:color w:val="333333"/>
          <w:kern w:val="0"/>
          <w:sz w:val="28"/>
          <w:szCs w:val="28"/>
          <w:lang w:val="en-US" w:eastAsia="zh-CN"/>
        </w:rPr>
        <w:t xml:space="preserve">  4.项目工期：合同签订后30天</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2.1法定条件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2.1.1具有独立承担民事责任的能力（提供法人或者其他组织的营业执照）</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2.1.2</w:t>
      </w:r>
      <w:r>
        <w:rPr>
          <w:rFonts w:hint="eastAsia" w:ascii="仿宋" w:hAnsi="仿宋" w:eastAsia="仿宋" w:cs="宋体"/>
          <w:color w:val="333333"/>
          <w:kern w:val="0"/>
          <w:sz w:val="28"/>
          <w:szCs w:val="28"/>
        </w:rPr>
        <w:t>具有履行合同所必需的设备和专业技术能力（根据项目需求提供履行合同所必需的设备和专业技术能力的证明材料）；</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ascii="仿宋" w:hAnsi="仿宋" w:eastAsia="仿宋" w:cs="宋体"/>
          <w:color w:val="000000"/>
          <w:kern w:val="0"/>
          <w:sz w:val="28"/>
          <w:szCs w:val="28"/>
        </w:rPr>
      </w:pPr>
      <w:r>
        <w:rPr>
          <w:rFonts w:hint="eastAsia" w:ascii="仿宋" w:hAnsi="仿宋" w:eastAsia="仿宋" w:cs="宋体"/>
          <w:color w:val="333333"/>
          <w:kern w:val="0"/>
          <w:sz w:val="28"/>
          <w:szCs w:val="28"/>
          <w:lang w:val="en-US" w:eastAsia="zh-CN"/>
        </w:rPr>
        <w:t>2.1.3参加政府采购活动前三年内，在经营活动中没有重大违法记录的书面声明（提供参加本次开标前三年内在经营活动中没有重大违法记录的书面声明）；</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2.1.4</w:t>
      </w:r>
      <w:r>
        <w:rPr>
          <w:rFonts w:hint="eastAsia" w:ascii="仿宋" w:hAnsi="仿宋" w:eastAsia="仿宋" w:cs="宋体"/>
          <w:color w:val="333333"/>
          <w:kern w:val="0"/>
          <w:sz w:val="28"/>
          <w:szCs w:val="28"/>
          <w:lang w:val="en-US" w:eastAsia="zh-CN"/>
        </w:rPr>
        <w:t>法律、行政法规规定的其他条件（项目实施所必须的许可资质证明材料）</w:t>
      </w:r>
      <w:r>
        <w:rPr>
          <w:rFonts w:hint="eastAsia" w:ascii="仿宋" w:hAnsi="仿宋" w:eastAsia="仿宋" w:cs="宋体"/>
          <w:color w:val="000000"/>
          <w:kern w:val="0"/>
          <w:sz w:val="28"/>
          <w:szCs w:val="28"/>
        </w:rPr>
        <w:t>。</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2.2根据采购项目的特殊要求，供应商具备相关资质，并提供证明文件。</w:t>
      </w:r>
    </w:p>
    <w:p>
      <w:pPr>
        <w:pStyle w:val="2"/>
        <w:ind w:left="0" w:leftChars="0" w:firstLine="560" w:firstLineChars="200"/>
        <w:jc w:val="left"/>
        <w:rPr>
          <w:rFonts w:hint="default"/>
          <w:lang w:val="en-US" w:eastAsia="zh-CN"/>
        </w:rPr>
      </w:pPr>
      <w:r>
        <w:rPr>
          <w:rFonts w:hint="eastAsia" w:ascii="仿宋" w:hAnsi="仿宋" w:eastAsia="仿宋" w:cs="宋体"/>
          <w:color w:val="333333"/>
          <w:kern w:val="0"/>
          <w:sz w:val="28"/>
          <w:szCs w:val="28"/>
          <w:lang w:val="en-US" w:eastAsia="zh-CN"/>
        </w:rPr>
        <w:t>2.2.1作业人员具有焊接与热切割特种作业操作证（提供证明材料）。</w:t>
      </w:r>
    </w:p>
    <w:p>
      <w:pPr>
        <w:numPr>
          <w:ilvl w:val="0"/>
          <w:numId w:val="0"/>
        </w:numPr>
        <w:spacing w:line="500" w:lineRule="exact"/>
        <w:ind w:firstLine="562" w:firstLineChars="200"/>
        <w:jc w:val="left"/>
        <w:rPr>
          <w:sz w:val="28"/>
          <w:szCs w:val="28"/>
        </w:rPr>
      </w:pPr>
      <w:r>
        <w:rPr>
          <w:rFonts w:hint="eastAsia" w:ascii="仿宋" w:hAnsi="仿宋" w:eastAsia="仿宋" w:cs="宋体"/>
          <w:b/>
          <w:bCs/>
          <w:color w:val="333333"/>
          <w:kern w:val="0"/>
          <w:sz w:val="28"/>
          <w:szCs w:val="28"/>
        </w:rPr>
        <w:t>三、</w:t>
      </w:r>
      <w:r>
        <w:rPr>
          <w:rFonts w:hint="eastAsia" w:ascii="仿宋" w:hAnsi="仿宋" w:eastAsia="仿宋"/>
          <w:b/>
          <w:bCs/>
          <w:sz w:val="28"/>
          <w:szCs w:val="28"/>
        </w:rPr>
        <w:t>采购报价</w:t>
      </w:r>
    </w:p>
    <w:p>
      <w:pPr>
        <w:spacing w:line="500" w:lineRule="atLeast"/>
        <w:ind w:firstLine="560" w:firstLineChars="200"/>
        <w:rPr>
          <w:rFonts w:hint="eastAsia" w:ascii="仿宋" w:hAnsi="仿宋" w:eastAsia="仿宋"/>
          <w:sz w:val="28"/>
          <w:szCs w:val="28"/>
        </w:rPr>
      </w:pPr>
      <w:r>
        <w:rPr>
          <w:rFonts w:hint="eastAsia" w:ascii="仿宋" w:hAnsi="仿宋" w:eastAsia="仿宋"/>
          <w:sz w:val="28"/>
          <w:szCs w:val="28"/>
        </w:rPr>
        <w:t>1.报价方式：本项目采用最低价中标方式，不排除进行多轮报价，经过评审，以</w:t>
      </w:r>
      <w:r>
        <w:rPr>
          <w:rFonts w:hint="eastAsia" w:ascii="仿宋" w:hAnsi="仿宋" w:eastAsia="仿宋"/>
          <w:sz w:val="28"/>
          <w:szCs w:val="28"/>
          <w:lang w:val="en-US" w:eastAsia="zh-CN"/>
        </w:rPr>
        <w:t>符合采购需求且</w:t>
      </w:r>
      <w:r>
        <w:rPr>
          <w:rFonts w:hint="eastAsia" w:ascii="仿宋" w:hAnsi="仿宋" w:eastAsia="仿宋"/>
          <w:sz w:val="28"/>
          <w:szCs w:val="28"/>
        </w:rPr>
        <w:t>报价最低者作为成交候选人。</w:t>
      </w:r>
    </w:p>
    <w:p>
      <w:pPr>
        <w:pStyle w:val="10"/>
        <w:widowControl/>
        <w:shd w:val="clear" w:color="auto" w:fill="FFFFFF"/>
        <w:spacing w:before="0" w:beforeAutospacing="0" w:after="0" w:afterAutospacing="0" w:line="320" w:lineRule="atLeast"/>
        <w:ind w:firstLine="560" w:firstLineChars="200"/>
        <w:rPr>
          <w:rFonts w:hint="default" w:ascii="仿宋" w:hAnsi="仿宋" w:eastAsia="仿宋" w:cs="Times New Roman"/>
          <w:kern w:val="2"/>
          <w:sz w:val="28"/>
          <w:szCs w:val="28"/>
          <w:lang w:val="en-US" w:eastAsia="zh-CN" w:bidi="ar-SA"/>
        </w:rPr>
      </w:pPr>
      <w:r>
        <w:rPr>
          <w:rFonts w:hint="eastAsia" w:ascii="仿宋" w:hAnsi="仿宋" w:eastAsia="仿宋"/>
          <w:sz w:val="28"/>
          <w:szCs w:val="28"/>
        </w:rPr>
        <w:t>2.</w:t>
      </w:r>
      <w:r>
        <w:rPr>
          <w:rFonts w:hint="eastAsia" w:ascii="仿宋" w:hAnsi="仿宋" w:eastAsia="仿宋" w:cs="Times New Roman"/>
          <w:kern w:val="2"/>
          <w:sz w:val="28"/>
          <w:szCs w:val="28"/>
          <w:lang w:val="en-US" w:eastAsia="zh-CN" w:bidi="ar-SA"/>
        </w:rPr>
        <w:t>本项目报价人的资格审查采用资格后审方式，各潜在投标人如确认参加本次投标需认真勘查现场，采购人不组织集中勘查。</w:t>
      </w:r>
    </w:p>
    <w:p>
      <w:pPr>
        <w:spacing w:line="500" w:lineRule="atLeast"/>
        <w:ind w:firstLine="560" w:firstLineChars="200"/>
        <w:jc w:val="left"/>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3.最高控制价：最高控制价为25万元，高于最高控制价的报价为无效报价。</w:t>
      </w:r>
    </w:p>
    <w:p>
      <w:pPr>
        <w:widowControl/>
        <w:spacing w:line="500" w:lineRule="atLeast"/>
        <w:jc w:val="left"/>
        <w:rPr>
          <w:rFonts w:hint="eastAsia" w:ascii="仿宋" w:hAnsi="仿宋" w:eastAsia="仿宋" w:cs="Times New Roman"/>
          <w:b/>
          <w:bCs/>
          <w:kern w:val="0"/>
          <w:sz w:val="28"/>
          <w:szCs w:val="28"/>
          <w:lang w:val="en-US" w:eastAsia="zh-CN" w:bidi="ar-SA"/>
        </w:rPr>
      </w:pPr>
      <w:r>
        <w:rPr>
          <w:rFonts w:hint="eastAsia" w:ascii="仿宋" w:hAnsi="仿宋" w:eastAsia="仿宋" w:cs="Times New Roman"/>
          <w:b/>
          <w:bCs/>
          <w:kern w:val="0"/>
          <w:sz w:val="28"/>
          <w:szCs w:val="28"/>
          <w:lang w:val="en-US" w:eastAsia="zh-CN" w:bidi="ar-SA"/>
        </w:rPr>
        <w:t>四、合同签订</w:t>
      </w:r>
    </w:p>
    <w:p>
      <w:pPr>
        <w:pStyle w:val="2"/>
        <w:ind w:left="0" w:leftChars="0" w:firstLine="280" w:firstLineChars="100"/>
        <w:jc w:val="left"/>
        <w:rPr>
          <w:rFonts w:hint="default"/>
          <w:lang w:val="en-US" w:eastAsia="zh-CN"/>
        </w:rPr>
      </w:pPr>
      <w:r>
        <w:rPr>
          <w:rFonts w:hint="eastAsia" w:ascii="仿宋" w:hAnsi="仿宋" w:eastAsia="仿宋" w:cs="宋体"/>
          <w:color w:val="333333"/>
          <w:kern w:val="0"/>
          <w:sz w:val="28"/>
          <w:szCs w:val="28"/>
        </w:rPr>
        <w:t>自成交公告结束后</w:t>
      </w:r>
      <w:r>
        <w:rPr>
          <w:rFonts w:hint="eastAsia" w:ascii="仿宋" w:hAnsi="仿宋" w:eastAsia="仿宋" w:cs="宋体"/>
          <w:color w:val="333333"/>
          <w:kern w:val="0"/>
          <w:sz w:val="28"/>
          <w:szCs w:val="28"/>
          <w:lang w:val="en-US" w:eastAsia="zh-CN"/>
        </w:rPr>
        <w:t xml:space="preserve"> 5</w:t>
      </w:r>
      <w:r>
        <w:rPr>
          <w:rFonts w:hint="eastAsia" w:ascii="仿宋" w:hAnsi="仿宋" w:eastAsia="仿宋" w:cs="宋体"/>
          <w:color w:val="333333"/>
          <w:kern w:val="0"/>
          <w:sz w:val="28"/>
          <w:szCs w:val="28"/>
        </w:rPr>
        <w:t>日内按时签约</w:t>
      </w:r>
    </w:p>
    <w:p>
      <w:pPr>
        <w:widowControl/>
        <w:spacing w:line="500" w:lineRule="atLeast"/>
        <w:jc w:val="left"/>
        <w:rPr>
          <w:rFonts w:hint="eastAsia" w:ascii="仿宋" w:hAnsi="仿宋" w:eastAsia="仿宋" w:cs="Times New Roman"/>
          <w:b/>
          <w:bCs/>
          <w:kern w:val="0"/>
          <w:sz w:val="28"/>
          <w:szCs w:val="28"/>
          <w:lang w:val="en-US" w:eastAsia="zh-CN" w:bidi="ar-SA"/>
        </w:rPr>
      </w:pPr>
      <w:r>
        <w:rPr>
          <w:rFonts w:hint="eastAsia" w:ascii="仿宋" w:hAnsi="仿宋" w:eastAsia="仿宋" w:cs="Times New Roman"/>
          <w:b/>
          <w:bCs/>
          <w:kern w:val="0"/>
          <w:sz w:val="28"/>
          <w:szCs w:val="28"/>
          <w:lang w:val="en-US" w:eastAsia="zh-CN" w:bidi="ar-SA"/>
        </w:rPr>
        <w:t>五、付款方式</w:t>
      </w:r>
    </w:p>
    <w:p>
      <w:pPr>
        <w:spacing w:line="500" w:lineRule="atLeast"/>
        <w:ind w:firstLine="420" w:firstLineChars="150"/>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本项目付款方式为验收合格后付合同价的95%，余款一年后无质量问题付清，不计息。</w:t>
      </w:r>
    </w:p>
    <w:p>
      <w:pPr>
        <w:widowControl/>
        <w:shd w:val="clear" w:color="auto" w:fill="FFFFFF"/>
        <w:spacing w:line="480" w:lineRule="exact"/>
        <w:jc w:val="left"/>
        <w:rPr>
          <w:rFonts w:hint="eastAsia" w:ascii="仿宋" w:hAnsi="仿宋" w:eastAsia="仿宋" w:cs="Times New Roman"/>
          <w:b/>
          <w:bCs/>
          <w:kern w:val="0"/>
          <w:sz w:val="28"/>
          <w:szCs w:val="28"/>
          <w:lang w:val="en-US" w:eastAsia="zh-CN" w:bidi="ar-SA"/>
        </w:rPr>
      </w:pPr>
      <w:r>
        <w:rPr>
          <w:rFonts w:hint="eastAsia" w:ascii="仿宋" w:hAnsi="仿宋" w:eastAsia="仿宋" w:cs="Times New Roman"/>
          <w:b/>
          <w:bCs/>
          <w:kern w:val="0"/>
          <w:sz w:val="28"/>
          <w:szCs w:val="28"/>
          <w:lang w:val="en-US" w:eastAsia="zh-CN" w:bidi="ar-SA"/>
        </w:rPr>
        <w:t>五、特别提醒</w:t>
      </w:r>
    </w:p>
    <w:p>
      <w:pPr>
        <w:pStyle w:val="2"/>
        <w:ind w:left="0" w:leftChars="0" w:firstLine="560" w:firstLineChars="200"/>
        <w:jc w:val="left"/>
        <w:rPr>
          <w:rFonts w:ascii="宋体" w:hAnsi="宋体"/>
          <w:b/>
          <w:sz w:val="24"/>
        </w:rPr>
      </w:pPr>
      <w:r>
        <w:rPr>
          <w:rFonts w:hint="eastAsia" w:ascii="仿宋" w:hAnsi="仿宋" w:eastAsia="仿宋" w:cs="宋体"/>
          <w:color w:val="333333"/>
          <w:kern w:val="0"/>
          <w:sz w:val="28"/>
          <w:szCs w:val="28"/>
        </w:rPr>
        <w:t>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pStyle w:val="2"/>
        <w:rPr>
          <w:rFonts w:ascii="宋体" w:hAnsi="宋体"/>
          <w:b/>
          <w:sz w:val="24"/>
        </w:rPr>
      </w:pPr>
    </w:p>
    <w:p>
      <w:pPr>
        <w:pStyle w:val="2"/>
        <w:rPr>
          <w:rFonts w:ascii="宋体" w:hAnsi="宋体"/>
          <w:b/>
          <w:sz w:val="24"/>
        </w:rPr>
      </w:pPr>
    </w:p>
    <w:p>
      <w:pPr>
        <w:pStyle w:val="2"/>
        <w:ind w:left="0" w:leftChars="0" w:firstLine="0" w:firstLineChars="0"/>
        <w:rPr>
          <w:rFonts w:ascii="宋体" w:hAnsi="宋体"/>
          <w:b/>
          <w:sz w:val="24"/>
        </w:rPr>
      </w:pPr>
    </w:p>
    <w:p>
      <w:pPr>
        <w:pStyle w:val="2"/>
        <w:rPr>
          <w:rFonts w:ascii="宋体" w:hAnsi="宋体"/>
          <w:b/>
          <w:sz w:val="24"/>
        </w:rPr>
      </w:pPr>
    </w:p>
    <w:p>
      <w:pPr>
        <w:pStyle w:val="2"/>
        <w:rPr>
          <w:rFonts w:ascii="宋体" w:hAnsi="宋体"/>
          <w:b/>
          <w:sz w:val="24"/>
        </w:rPr>
      </w:pPr>
    </w:p>
    <w:p>
      <w:pPr>
        <w:jc w:val="center"/>
        <w:rPr>
          <w:rFonts w:hint="eastAsia"/>
          <w:sz w:val="32"/>
          <w:szCs w:val="32"/>
        </w:rPr>
      </w:pPr>
    </w:p>
    <w:p>
      <w:pPr>
        <w:snapToGrid w:val="0"/>
        <w:spacing w:line="300" w:lineRule="auto"/>
        <w:contextualSpacing/>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ascii="仿宋" w:hAnsi="仿宋" w:eastAsia="仿宋"/>
          <w:b/>
          <w:sz w:val="28"/>
          <w:szCs w:val="28"/>
        </w:rPr>
      </w:pPr>
    </w:p>
    <w:p>
      <w:pPr>
        <w:rPr>
          <w:rFonts w:ascii="仿宋" w:hAnsi="仿宋" w:eastAsia="仿宋"/>
        </w:rPr>
      </w:pPr>
    </w:p>
    <w:p>
      <w:pPr>
        <w:widowControl/>
        <w:shd w:val="clear" w:color="auto" w:fill="FFFFFF"/>
        <w:spacing w:line="440" w:lineRule="exact"/>
        <w:jc w:val="left"/>
        <w:rPr>
          <w:rFonts w:ascii="仿宋" w:hAnsi="仿宋" w:eastAsia="仿宋" w:cs="宋体"/>
          <w:color w:val="333333"/>
          <w:kern w:val="0"/>
          <w:sz w:val="28"/>
          <w:szCs w:val="28"/>
        </w:rPr>
      </w:pP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kZDFjZGMyMmRmOWUwYzBkNmY3MTdmNWY5ODYxYjYifQ=="/>
  </w:docVars>
  <w:rsids>
    <w:rsidRoot w:val="00636E74"/>
    <w:rsid w:val="0008109B"/>
    <w:rsid w:val="000D0D8B"/>
    <w:rsid w:val="000D5C27"/>
    <w:rsid w:val="000F3612"/>
    <w:rsid w:val="001101B6"/>
    <w:rsid w:val="00300433"/>
    <w:rsid w:val="003251A6"/>
    <w:rsid w:val="003D6FA7"/>
    <w:rsid w:val="00402E3B"/>
    <w:rsid w:val="004C0666"/>
    <w:rsid w:val="00636E74"/>
    <w:rsid w:val="0064592A"/>
    <w:rsid w:val="007D7FE3"/>
    <w:rsid w:val="00861C48"/>
    <w:rsid w:val="008F116D"/>
    <w:rsid w:val="00927744"/>
    <w:rsid w:val="00940237"/>
    <w:rsid w:val="009A0A64"/>
    <w:rsid w:val="009F5608"/>
    <w:rsid w:val="00AA45C4"/>
    <w:rsid w:val="00CB7123"/>
    <w:rsid w:val="00CE4722"/>
    <w:rsid w:val="00D17DB2"/>
    <w:rsid w:val="00D86FF3"/>
    <w:rsid w:val="00E00B91"/>
    <w:rsid w:val="00F61444"/>
    <w:rsid w:val="00F62D27"/>
    <w:rsid w:val="00F667C3"/>
    <w:rsid w:val="00FD4781"/>
    <w:rsid w:val="00FF37A4"/>
    <w:rsid w:val="02AB0941"/>
    <w:rsid w:val="04AB674B"/>
    <w:rsid w:val="05095CB8"/>
    <w:rsid w:val="051C799F"/>
    <w:rsid w:val="054D707F"/>
    <w:rsid w:val="055B7809"/>
    <w:rsid w:val="05737E05"/>
    <w:rsid w:val="07A1652D"/>
    <w:rsid w:val="08512B88"/>
    <w:rsid w:val="08CB7EDE"/>
    <w:rsid w:val="09227C4C"/>
    <w:rsid w:val="0BB44275"/>
    <w:rsid w:val="0D0B5A22"/>
    <w:rsid w:val="0F420753"/>
    <w:rsid w:val="0F615697"/>
    <w:rsid w:val="11CC386C"/>
    <w:rsid w:val="12265D3A"/>
    <w:rsid w:val="188527A2"/>
    <w:rsid w:val="18C82169"/>
    <w:rsid w:val="18CE6F8F"/>
    <w:rsid w:val="191F46F3"/>
    <w:rsid w:val="1A0C5FBC"/>
    <w:rsid w:val="1BB75018"/>
    <w:rsid w:val="1BD2213B"/>
    <w:rsid w:val="1C2B429F"/>
    <w:rsid w:val="1C4209FC"/>
    <w:rsid w:val="1CF57E24"/>
    <w:rsid w:val="1D214B62"/>
    <w:rsid w:val="1D710427"/>
    <w:rsid w:val="1D734BD5"/>
    <w:rsid w:val="1D8204B6"/>
    <w:rsid w:val="1F2160AC"/>
    <w:rsid w:val="2045770A"/>
    <w:rsid w:val="208D1003"/>
    <w:rsid w:val="231C0FD0"/>
    <w:rsid w:val="241B0533"/>
    <w:rsid w:val="276D6DCD"/>
    <w:rsid w:val="27805FBC"/>
    <w:rsid w:val="27CB10BD"/>
    <w:rsid w:val="28B0114F"/>
    <w:rsid w:val="2905623A"/>
    <w:rsid w:val="2A275371"/>
    <w:rsid w:val="2A2A097C"/>
    <w:rsid w:val="2A77252D"/>
    <w:rsid w:val="2BB50FE4"/>
    <w:rsid w:val="2BFC45CE"/>
    <w:rsid w:val="2CA974DC"/>
    <w:rsid w:val="2E087145"/>
    <w:rsid w:val="2F2D088A"/>
    <w:rsid w:val="2F627E2A"/>
    <w:rsid w:val="30313057"/>
    <w:rsid w:val="304444C8"/>
    <w:rsid w:val="31570EFB"/>
    <w:rsid w:val="31944576"/>
    <w:rsid w:val="31D20CBD"/>
    <w:rsid w:val="32C174C2"/>
    <w:rsid w:val="340E16D9"/>
    <w:rsid w:val="35DF57D2"/>
    <w:rsid w:val="381B658D"/>
    <w:rsid w:val="38AF2912"/>
    <w:rsid w:val="3B8962C2"/>
    <w:rsid w:val="3CCF67E5"/>
    <w:rsid w:val="3DA5569E"/>
    <w:rsid w:val="3E9E45D5"/>
    <w:rsid w:val="3F0B0F33"/>
    <w:rsid w:val="3FF948E9"/>
    <w:rsid w:val="40B41052"/>
    <w:rsid w:val="44E6731E"/>
    <w:rsid w:val="45ED4171"/>
    <w:rsid w:val="46BF51C9"/>
    <w:rsid w:val="49C4715E"/>
    <w:rsid w:val="4A36016B"/>
    <w:rsid w:val="4AEC73C7"/>
    <w:rsid w:val="4AF4653C"/>
    <w:rsid w:val="4B443FA2"/>
    <w:rsid w:val="4C0C4385"/>
    <w:rsid w:val="4E4D3EF8"/>
    <w:rsid w:val="4F2035BE"/>
    <w:rsid w:val="4F9968F0"/>
    <w:rsid w:val="4FCE52B8"/>
    <w:rsid w:val="4FCF109F"/>
    <w:rsid w:val="51E72EA1"/>
    <w:rsid w:val="53DA1028"/>
    <w:rsid w:val="55D96DFE"/>
    <w:rsid w:val="5662170E"/>
    <w:rsid w:val="5915058F"/>
    <w:rsid w:val="5BC46118"/>
    <w:rsid w:val="5C913404"/>
    <w:rsid w:val="5D2326A2"/>
    <w:rsid w:val="5D7C62B1"/>
    <w:rsid w:val="5E39324F"/>
    <w:rsid w:val="5E847993"/>
    <w:rsid w:val="63C03FB5"/>
    <w:rsid w:val="63FD1731"/>
    <w:rsid w:val="655A2316"/>
    <w:rsid w:val="66811B16"/>
    <w:rsid w:val="6728607A"/>
    <w:rsid w:val="674A100F"/>
    <w:rsid w:val="675D57CC"/>
    <w:rsid w:val="67FE5C57"/>
    <w:rsid w:val="68126C46"/>
    <w:rsid w:val="68A556CB"/>
    <w:rsid w:val="68CF6B69"/>
    <w:rsid w:val="6A5B0572"/>
    <w:rsid w:val="6AF131DF"/>
    <w:rsid w:val="6B4F264D"/>
    <w:rsid w:val="6B7768A3"/>
    <w:rsid w:val="6C6B7AF6"/>
    <w:rsid w:val="6CCF54EA"/>
    <w:rsid w:val="6E0F7AC0"/>
    <w:rsid w:val="6F0635ED"/>
    <w:rsid w:val="708A46C3"/>
    <w:rsid w:val="711D4D6C"/>
    <w:rsid w:val="71660EEE"/>
    <w:rsid w:val="72902453"/>
    <w:rsid w:val="738315B2"/>
    <w:rsid w:val="74FE608D"/>
    <w:rsid w:val="752462DB"/>
    <w:rsid w:val="78B02866"/>
    <w:rsid w:val="79C87210"/>
    <w:rsid w:val="7A292246"/>
    <w:rsid w:val="7A473F05"/>
    <w:rsid w:val="7B9253C6"/>
    <w:rsid w:val="7CE70705"/>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widowControl w:val="0"/>
      <w:autoSpaceDE/>
      <w:autoSpaceDN/>
      <w:adjustRightInd/>
      <w:spacing w:after="120" w:line="240" w:lineRule="auto"/>
      <w:ind w:left="200" w:leftChars="200" w:firstLine="200" w:firstLineChars="200"/>
      <w:jc w:val="center"/>
      <w:textAlignment w:val="auto"/>
    </w:pPr>
    <w:rPr>
      <w:rFonts w:ascii="Calibri" w:hAnsi="Calibri" w:eastAsia="宋体" w:cs="Calibri"/>
      <w:kern w:val="2"/>
      <w:sz w:val="21"/>
      <w:szCs w:val="21"/>
      <w:lang w:val="en-US" w:eastAsia="zh-CN" w:bidi="ar-SA"/>
    </w:rPr>
  </w:style>
  <w:style w:type="paragraph" w:styleId="3">
    <w:name w:val="Body Text Indent"/>
    <w:basedOn w:val="1"/>
    <w:next w:val="4"/>
    <w:qFormat/>
    <w:uiPriority w:val="0"/>
    <w:pPr>
      <w:spacing w:line="360" w:lineRule="auto"/>
      <w:ind w:left="720" w:hanging="720" w:hangingChars="300"/>
    </w:pPr>
    <w:rPr>
      <w:sz w:val="24"/>
      <w:szCs w:val="20"/>
    </w:rPr>
  </w:style>
  <w:style w:type="paragraph" w:styleId="4">
    <w:name w:val="envelope return"/>
    <w:basedOn w:val="1"/>
    <w:unhideWhenUsed/>
    <w:qFormat/>
    <w:uiPriority w:val="99"/>
    <w:pPr>
      <w:snapToGrid w:val="0"/>
    </w:pPr>
    <w:rPr>
      <w:rFonts w:ascii="Arial" w:hAnsi="Arial"/>
    </w:rPr>
  </w:style>
  <w:style w:type="paragraph" w:styleId="5">
    <w:name w:val="table of authorities"/>
    <w:basedOn w:val="1"/>
    <w:next w:val="1"/>
    <w:qFormat/>
    <w:uiPriority w:val="0"/>
    <w:pPr>
      <w:ind w:left="420" w:leftChars="200"/>
    </w:pPr>
    <w:rPr>
      <w:szCs w:val="22"/>
    </w:rPr>
  </w:style>
  <w:style w:type="paragraph" w:styleId="6">
    <w:name w:val="Date"/>
    <w:basedOn w:val="1"/>
    <w:next w:val="1"/>
    <w:qFormat/>
    <w:uiPriority w:val="0"/>
    <w:rPr>
      <w:szCs w:val="20"/>
    </w:rPr>
  </w:style>
  <w:style w:type="paragraph" w:styleId="7">
    <w:name w:val="Body Text Indent 2"/>
    <w:basedOn w:val="1"/>
    <w:qFormat/>
    <w:uiPriority w:val="0"/>
    <w:pPr>
      <w:ind w:firstLine="480"/>
    </w:pPr>
    <w:rPr>
      <w:rFonts w:ascii="宋体" w:hAnsi="宋体"/>
      <w:sz w:val="30"/>
    </w:r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ascii="Calibri" w:hAnsi="Calibri"/>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脚 Char"/>
    <w:basedOn w:val="13"/>
    <w:link w:val="8"/>
    <w:qFormat/>
    <w:uiPriority w:val="0"/>
    <w:rPr>
      <w:rFonts w:ascii="Times New Roman" w:hAnsi="Times New Roman" w:eastAsia="宋体" w:cs="Times New Roman"/>
      <w:kern w:val="2"/>
      <w:sz w:val="18"/>
      <w:szCs w:val="18"/>
    </w:rPr>
  </w:style>
  <w:style w:type="paragraph" w:styleId="15">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3</Pages>
  <Words>820</Words>
  <Characters>868</Characters>
  <Lines>14</Lines>
  <Paragraphs>4</Paragraphs>
  <TotalTime>17</TotalTime>
  <ScaleCrop>false</ScaleCrop>
  <LinksUpToDate>false</LinksUpToDate>
  <CharactersWithSpaces>960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2022-05-17T06:32:56Z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3AF74B6526F644168521177B499BEC4D</vt:lpwstr>
  </property>
</Properties>
</file>