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黑体" w:hAnsi="黑体" w:eastAsia="黑体" w:cs="黑体"/>
          <w:b/>
          <w:color w:val="000000"/>
          <w:sz w:val="36"/>
          <w:szCs w:val="36"/>
        </w:rPr>
      </w:pPr>
      <w:r>
        <w:rPr>
          <w:rFonts w:hint="eastAsia" w:ascii="黑体" w:hAnsi="黑体" w:eastAsia="黑体" w:cs="黑体"/>
          <w:b/>
          <w:color w:val="333333"/>
          <w:kern w:val="0"/>
          <w:sz w:val="36"/>
          <w:szCs w:val="36"/>
        </w:rPr>
        <w:t>《海安市人民医院呼吸机</w:t>
      </w:r>
      <w:r>
        <w:rPr>
          <w:rFonts w:hint="eastAsia" w:ascii="黑体" w:hAnsi="黑体" w:eastAsia="黑体" w:cs="黑体"/>
          <w:b/>
          <w:color w:val="333333"/>
          <w:kern w:val="0"/>
          <w:sz w:val="36"/>
          <w:szCs w:val="36"/>
          <w:lang w:val="en-US" w:eastAsia="zh-CN"/>
        </w:rPr>
        <w:t>两台</w:t>
      </w:r>
      <w:r>
        <w:rPr>
          <w:rFonts w:hint="eastAsia" w:ascii="黑体" w:hAnsi="黑体" w:eastAsia="黑体" w:cs="黑体"/>
          <w:b/>
          <w:color w:val="333333"/>
          <w:kern w:val="0"/>
          <w:sz w:val="36"/>
          <w:szCs w:val="36"/>
        </w:rPr>
        <w:t>采购》项</w:t>
      </w:r>
      <w:r>
        <w:rPr>
          <w:rFonts w:hint="eastAsia" w:ascii="黑体" w:hAnsi="黑体" w:eastAsia="黑体" w:cs="黑体"/>
          <w:b/>
          <w:color w:val="000000"/>
          <w:sz w:val="36"/>
          <w:szCs w:val="36"/>
        </w:rPr>
        <w:t>目</w:t>
      </w:r>
    </w:p>
    <w:p>
      <w:pPr>
        <w:widowControl/>
        <w:shd w:val="clear" w:color="auto" w:fill="FFFFFF"/>
        <w:spacing w:line="500" w:lineRule="exact"/>
        <w:jc w:val="center"/>
        <w:rPr>
          <w:rFonts w:ascii="黑体" w:hAnsi="黑体" w:eastAsia="黑体" w:cs="黑体"/>
          <w:b/>
          <w:color w:val="333333"/>
          <w:kern w:val="0"/>
          <w:sz w:val="36"/>
          <w:szCs w:val="36"/>
        </w:rPr>
      </w:pPr>
      <w:r>
        <w:rPr>
          <w:rFonts w:hint="eastAsia" w:ascii="黑体" w:hAnsi="黑体" w:eastAsia="黑体" w:cs="黑体"/>
          <w:b/>
          <w:color w:val="333333"/>
          <w:kern w:val="0"/>
          <w:sz w:val="36"/>
          <w:szCs w:val="36"/>
        </w:rPr>
        <w:t>询价采购文件</w:t>
      </w:r>
    </w:p>
    <w:p>
      <w:pPr>
        <w:widowControl/>
        <w:shd w:val="clear" w:color="auto" w:fill="FFFFFF"/>
        <w:spacing w:line="500" w:lineRule="exact"/>
        <w:ind w:firstLine="281" w:firstLineChars="100"/>
        <w:jc w:val="left"/>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一、项目概况</w:t>
      </w:r>
    </w:p>
    <w:p>
      <w:pPr>
        <w:widowControl/>
        <w:shd w:val="clear" w:color="auto" w:fill="FFFFFF"/>
        <w:spacing w:line="480" w:lineRule="exact"/>
        <w:ind w:firstLine="280" w:firstLineChars="100"/>
        <w:jc w:val="left"/>
        <w:rPr>
          <w:rFonts w:hint="default" w:ascii="仿宋" w:hAnsi="仿宋" w:cs="宋体" w:eastAsiaTheme="majorEastAsia"/>
          <w:color w:val="333333"/>
          <w:kern w:val="0"/>
          <w:sz w:val="28"/>
          <w:szCs w:val="28"/>
          <w:lang w:val="en-US" w:eastAsia="zh-CN"/>
        </w:rPr>
      </w:pPr>
      <w:r>
        <w:rPr>
          <w:rFonts w:hint="eastAsia" w:ascii="仿宋" w:hAnsi="仿宋" w:eastAsia="仿宋" w:cs="宋体"/>
          <w:color w:val="333333"/>
          <w:kern w:val="0"/>
          <w:sz w:val="28"/>
          <w:szCs w:val="28"/>
        </w:rPr>
        <w:t>1.项目编号：</w:t>
      </w:r>
      <w:r>
        <w:rPr>
          <w:rFonts w:hint="eastAsia" w:asciiTheme="majorEastAsia" w:hAnsiTheme="majorEastAsia" w:eastAsiaTheme="majorEastAsia" w:cstheme="majorEastAsia"/>
          <w:sz w:val="28"/>
          <w:szCs w:val="28"/>
        </w:rPr>
        <w:t>HARY-YXZBK</w:t>
      </w:r>
      <w:r>
        <w:rPr>
          <w:rFonts w:hint="eastAsia" w:asciiTheme="majorEastAsia" w:hAnsiTheme="majorEastAsia" w:eastAsiaTheme="majorEastAsia" w:cstheme="majorEastAsia"/>
          <w:sz w:val="28"/>
          <w:szCs w:val="28"/>
          <w:lang w:val="en-US" w:eastAsia="zh-CN"/>
        </w:rPr>
        <w:t>-110</w:t>
      </w:r>
    </w:p>
    <w:p>
      <w:pPr>
        <w:widowControl/>
        <w:shd w:val="clear" w:color="auto" w:fill="FFFFFF"/>
        <w:spacing w:line="50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2.项目地点：海安市人民医院</w:t>
      </w:r>
    </w:p>
    <w:p>
      <w:pPr>
        <w:widowControl/>
        <w:shd w:val="clear" w:color="auto" w:fill="FFFFFF"/>
        <w:spacing w:line="50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3.项目内容：呼吸机</w:t>
      </w:r>
      <w:r>
        <w:rPr>
          <w:rFonts w:hint="eastAsia" w:ascii="仿宋" w:hAnsi="仿宋" w:eastAsia="仿宋" w:cs="宋体"/>
          <w:color w:val="333333"/>
          <w:kern w:val="0"/>
          <w:sz w:val="28"/>
          <w:szCs w:val="28"/>
          <w:lang w:val="en-US" w:eastAsia="zh-CN"/>
        </w:rPr>
        <w:t>两</w:t>
      </w:r>
      <w:bookmarkStart w:id="0" w:name="_GoBack"/>
      <w:bookmarkEnd w:id="0"/>
      <w:r>
        <w:rPr>
          <w:rFonts w:hint="eastAsia" w:ascii="仿宋" w:hAnsi="仿宋" w:eastAsia="仿宋" w:cs="宋体"/>
          <w:color w:val="333333"/>
          <w:kern w:val="0"/>
          <w:sz w:val="28"/>
          <w:szCs w:val="28"/>
        </w:rPr>
        <w:t>台采购</w:t>
      </w:r>
    </w:p>
    <w:p>
      <w:pPr>
        <w:widowControl/>
        <w:shd w:val="clear" w:color="auto" w:fill="FFFFFF"/>
        <w:spacing w:line="480" w:lineRule="exact"/>
        <w:ind w:firstLine="281" w:firstLineChars="100"/>
        <w:jc w:val="left"/>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二、供应商要求</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2.1法定条件</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2.1.1具有独立承担民事责任的能力（提供法人或者其他组织的营业执照）</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2.1.2具有良好的商业信誉和健全的财务会计制度（提供参加本次谈判前的会计报表，必须含资产负债表、利润表等的证明材料）；</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2.1.3具有履行合同所必需的设备和专业技术能力（根据项目需求提供履行合同所必需的设备和专业技术能力的证明材料）；</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2.1.4有依法缴纳税收和社会保障资金、基本养老保险等相关材料，应由税务、社保或银行部门出具（提供</w:t>
      </w:r>
      <w:r>
        <w:rPr>
          <w:rFonts w:hint="eastAsia" w:ascii="仿宋" w:hAnsi="仿宋" w:eastAsia="仿宋" w:cs="宋体"/>
          <w:color w:val="333333"/>
          <w:kern w:val="0"/>
          <w:sz w:val="28"/>
          <w:szCs w:val="28"/>
          <w:lang w:val="en-US" w:eastAsia="zh-CN"/>
        </w:rPr>
        <w:t>近三个月</w:t>
      </w:r>
      <w:r>
        <w:rPr>
          <w:rFonts w:hint="eastAsia" w:ascii="仿宋" w:hAnsi="仿宋" w:eastAsia="仿宋" w:cs="宋体"/>
          <w:color w:val="333333"/>
          <w:kern w:val="0"/>
          <w:sz w:val="28"/>
          <w:szCs w:val="28"/>
        </w:rPr>
        <w:t>的证明资料）；</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2.1.5参加政府采购活动前三年内，在经营活动中没有重大违法记录的书面声明（提供参加本次开标前三年内在经营活动中没有重大违法记录的书面声明）；</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2.1.6法律、行政法规规定的其他条件（项目实施所必须的许可资质证明材料）。</w:t>
      </w:r>
    </w:p>
    <w:p>
      <w:pPr>
        <w:widowControl/>
        <w:shd w:val="clear" w:color="auto" w:fill="FFFFFF"/>
        <w:spacing w:line="480" w:lineRule="exact"/>
        <w:ind w:firstLine="280" w:firstLineChars="1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2.2 根据采购项目的特殊要求，供应商具备相关经营资质，并提供证明文件。</w:t>
      </w:r>
    </w:p>
    <w:p>
      <w:pPr>
        <w:widowControl/>
        <w:shd w:val="clear" w:color="auto" w:fill="FFFFFF"/>
        <w:spacing w:line="500" w:lineRule="exact"/>
        <w:jc w:val="left"/>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三、项目具体需求</w:t>
      </w:r>
    </w:p>
    <w:p>
      <w:pPr>
        <w:spacing w:line="500" w:lineRule="exact"/>
        <w:ind w:firstLine="275" w:firstLineChars="98"/>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3.1</w:t>
      </w:r>
      <w:r>
        <w:rPr>
          <w:rFonts w:hint="eastAsia" w:ascii="仿宋" w:hAnsi="仿宋" w:eastAsia="仿宋" w:cs="宋体"/>
          <w:color w:val="333333"/>
          <w:kern w:val="0"/>
          <w:sz w:val="28"/>
          <w:szCs w:val="28"/>
        </w:rPr>
        <w:t>本项目采用询价采购，按照技术规格、质量、服务等方面相同的条件下，价格最低者确定为供应商。（项目报价单详见附件1）</w:t>
      </w:r>
    </w:p>
    <w:p>
      <w:pPr>
        <w:snapToGrid w:val="0"/>
        <w:spacing w:line="300" w:lineRule="auto"/>
        <w:ind w:firstLine="280" w:firstLineChars="100"/>
        <w:contextualSpacing/>
        <w:rPr>
          <w:rFonts w:ascii="仿宋" w:hAnsi="仿宋" w:eastAsia="仿宋" w:cs="宋体"/>
          <w:color w:val="333333"/>
          <w:kern w:val="0"/>
          <w:sz w:val="28"/>
          <w:szCs w:val="28"/>
        </w:rPr>
      </w:pPr>
    </w:p>
    <w:p>
      <w:pPr>
        <w:snapToGrid w:val="0"/>
        <w:spacing w:line="300" w:lineRule="auto"/>
        <w:ind w:firstLine="281" w:firstLineChars="100"/>
        <w:contextualSpacing/>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3.2采购标的的数量：</w:t>
      </w:r>
    </w:p>
    <w:p>
      <w:pPr>
        <w:spacing w:line="400" w:lineRule="exact"/>
        <w:ind w:left="140"/>
        <w:rPr>
          <w:rFonts w:ascii="仿宋_GB2312" w:hAnsi="仿宋_GB2312" w:eastAsia="仿宋_GB2312" w:cs="仿宋_GB2312"/>
          <w:sz w:val="32"/>
          <w:szCs w:val="32"/>
        </w:rPr>
      </w:pPr>
    </w:p>
    <w:tbl>
      <w:tblPr>
        <w:tblStyle w:val="8"/>
        <w:tblW w:w="7147" w:type="dxa"/>
        <w:tblCellSpacing w:w="0" w:type="dxa"/>
        <w:tblInd w:w="3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67"/>
        <w:gridCol w:w="2745"/>
        <w:gridCol w:w="1320"/>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7" w:hRule="atLeast"/>
          <w:tblCellSpacing w:w="0" w:type="dxa"/>
        </w:trPr>
        <w:tc>
          <w:tcPr>
            <w:tcW w:w="967" w:type="dxa"/>
            <w:vAlign w:val="center"/>
          </w:tcPr>
          <w:p>
            <w:pPr>
              <w:widowControl/>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序号</w:t>
            </w:r>
          </w:p>
        </w:tc>
        <w:tc>
          <w:tcPr>
            <w:tcW w:w="2745" w:type="dxa"/>
            <w:vAlign w:val="center"/>
          </w:tcPr>
          <w:p>
            <w:pPr>
              <w:widowControl/>
              <w:spacing w:line="360" w:lineRule="auto"/>
              <w:jc w:val="center"/>
              <w:rPr>
                <w:rFonts w:ascii="仿宋" w:hAnsi="仿宋" w:eastAsia="仿宋" w:cs="宋体"/>
                <w:color w:val="000000"/>
                <w:kern w:val="0"/>
                <w:sz w:val="24"/>
              </w:rPr>
            </w:pPr>
            <w:r>
              <w:rPr>
                <w:rFonts w:ascii="仿宋" w:hAnsi="仿宋" w:eastAsia="仿宋" w:cs="宋体"/>
                <w:color w:val="000000"/>
                <w:kern w:val="0"/>
                <w:sz w:val="24"/>
              </w:rPr>
              <w:t>产品名称</w:t>
            </w:r>
          </w:p>
        </w:tc>
        <w:tc>
          <w:tcPr>
            <w:tcW w:w="1320" w:type="dxa"/>
            <w:vAlign w:val="center"/>
          </w:tcPr>
          <w:p>
            <w:pPr>
              <w:widowControl/>
              <w:spacing w:line="360" w:lineRule="auto"/>
              <w:jc w:val="center"/>
              <w:rPr>
                <w:rFonts w:ascii="仿宋" w:hAnsi="仿宋" w:eastAsia="仿宋" w:cs="宋体"/>
                <w:color w:val="000000"/>
                <w:kern w:val="0"/>
                <w:sz w:val="24"/>
              </w:rPr>
            </w:pPr>
            <w:r>
              <w:rPr>
                <w:rFonts w:ascii="仿宋" w:hAnsi="仿宋" w:eastAsia="仿宋" w:cs="宋体"/>
                <w:color w:val="000000"/>
                <w:kern w:val="0"/>
                <w:sz w:val="24"/>
              </w:rPr>
              <w:t>数量</w:t>
            </w:r>
          </w:p>
        </w:tc>
        <w:tc>
          <w:tcPr>
            <w:tcW w:w="2115" w:type="dxa"/>
            <w:vAlign w:val="center"/>
          </w:tcPr>
          <w:p>
            <w:pPr>
              <w:widowControl/>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预算</w:t>
            </w:r>
            <w:r>
              <w:rPr>
                <w:rFonts w:hint="eastAsia" w:ascii="仿宋" w:hAnsi="仿宋" w:eastAsia="仿宋" w:cs="宋体"/>
                <w:color w:val="000000"/>
                <w:kern w:val="0"/>
                <w:sz w:val="24"/>
                <w:lang w:val="en-US" w:eastAsia="zh-CN"/>
              </w:rPr>
              <w:t>总</w:t>
            </w:r>
            <w:r>
              <w:rPr>
                <w:rFonts w:hint="eastAsia" w:ascii="仿宋" w:hAnsi="仿宋" w:eastAsia="仿宋" w:cs="宋体"/>
                <w:color w:val="000000"/>
                <w:kern w:val="0"/>
                <w:sz w:val="24"/>
              </w:rPr>
              <w:t>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2" w:hRule="atLeast"/>
          <w:tblCellSpacing w:w="0" w:type="dxa"/>
        </w:trPr>
        <w:tc>
          <w:tcPr>
            <w:tcW w:w="967" w:type="dxa"/>
            <w:vAlign w:val="center"/>
          </w:tcPr>
          <w:p>
            <w:pPr>
              <w:widowControl/>
              <w:spacing w:line="360" w:lineRule="auto"/>
              <w:jc w:val="center"/>
              <w:rPr>
                <w:rFonts w:ascii="仿宋" w:hAnsi="仿宋" w:eastAsia="仿宋" w:cs="宋体"/>
                <w:b/>
                <w:bCs/>
                <w:color w:val="000000"/>
                <w:kern w:val="0"/>
                <w:sz w:val="24"/>
              </w:rPr>
            </w:pPr>
            <w:r>
              <w:rPr>
                <w:rFonts w:hint="eastAsia" w:ascii="仿宋" w:hAnsi="仿宋" w:eastAsia="仿宋" w:cs="宋体"/>
                <w:b/>
                <w:bCs/>
                <w:color w:val="000000"/>
                <w:kern w:val="0"/>
                <w:sz w:val="24"/>
              </w:rPr>
              <w:t>1</w:t>
            </w:r>
          </w:p>
        </w:tc>
        <w:tc>
          <w:tcPr>
            <w:tcW w:w="2745" w:type="dxa"/>
            <w:vAlign w:val="center"/>
          </w:tcPr>
          <w:p>
            <w:pPr>
              <w:widowControl/>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呼吸机</w:t>
            </w:r>
          </w:p>
        </w:tc>
        <w:tc>
          <w:tcPr>
            <w:tcW w:w="1320" w:type="dxa"/>
            <w:vAlign w:val="center"/>
          </w:tcPr>
          <w:p>
            <w:pPr>
              <w:widowControl/>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2台</w:t>
            </w:r>
          </w:p>
        </w:tc>
        <w:tc>
          <w:tcPr>
            <w:tcW w:w="2115" w:type="dxa"/>
            <w:vAlign w:val="center"/>
          </w:tcPr>
          <w:p>
            <w:pPr>
              <w:widowControl/>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290000</w:t>
            </w:r>
          </w:p>
        </w:tc>
      </w:tr>
    </w:tbl>
    <w:p>
      <w:pPr>
        <w:spacing w:line="500" w:lineRule="exact"/>
        <w:ind w:firstLine="315" w:firstLineChars="98"/>
        <w:rPr>
          <w:rFonts w:ascii="仿宋_GB2312" w:hAnsi="仿宋_GB2312" w:eastAsia="仿宋_GB2312" w:cs="仿宋_GB2312"/>
          <w:b/>
          <w:bCs/>
          <w:sz w:val="32"/>
          <w:szCs w:val="32"/>
        </w:rPr>
      </w:pPr>
    </w:p>
    <w:p>
      <w:pPr>
        <w:snapToGrid w:val="0"/>
        <w:spacing w:line="300" w:lineRule="auto"/>
        <w:ind w:firstLine="281" w:firstLineChars="100"/>
        <w:contextualSpacing/>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3.3采购标的的技术规格：</w:t>
      </w:r>
    </w:p>
    <w:p>
      <w:pPr>
        <w:numPr>
          <w:ilvl w:val="0"/>
          <w:numId w:val="1"/>
        </w:numPr>
        <w:snapToGrid w:val="0"/>
        <w:spacing w:line="360" w:lineRule="auto"/>
        <w:textAlignment w:val="baseline"/>
        <w:rPr>
          <w:rFonts w:ascii="微软雅黑" w:hAnsi="微软雅黑" w:eastAsia="微软雅黑"/>
          <w:b/>
          <w:sz w:val="24"/>
        </w:rPr>
      </w:pPr>
      <w:r>
        <w:rPr>
          <w:rFonts w:hint="eastAsia" w:ascii="微软雅黑" w:hAnsi="微软雅黑" w:eastAsia="微软雅黑"/>
          <w:b/>
          <w:sz w:val="24"/>
        </w:rPr>
        <w:t>基本要求</w:t>
      </w:r>
    </w:p>
    <w:p>
      <w:pPr>
        <w:numPr>
          <w:ilvl w:val="0"/>
          <w:numId w:val="2"/>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适用于成人、小儿和婴幼儿进行通气辅助及呼吸支持的呼吸机。</w:t>
      </w:r>
    </w:p>
    <w:p>
      <w:pPr>
        <w:numPr>
          <w:ilvl w:val="0"/>
          <w:numId w:val="2"/>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电动电控呼吸机，涡轮驱动产生空气气源，方便进行转运。</w:t>
      </w:r>
    </w:p>
    <w:p>
      <w:pPr>
        <w:numPr>
          <w:ilvl w:val="0"/>
          <w:numId w:val="2"/>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不小于</w:t>
      </w:r>
      <w:r>
        <w:rPr>
          <w:rFonts w:ascii="微软雅黑" w:hAnsi="微软雅黑" w:eastAsia="微软雅黑"/>
          <w:szCs w:val="21"/>
        </w:rPr>
        <w:t>8</w:t>
      </w:r>
      <w:r>
        <w:rPr>
          <w:rFonts w:hint="eastAsia" w:ascii="微软雅黑" w:hAnsi="微软雅黑" w:eastAsia="微软雅黑"/>
          <w:szCs w:val="21"/>
        </w:rPr>
        <w:t>英寸彩色TFT触摸控制屏。</w:t>
      </w:r>
    </w:p>
    <w:p>
      <w:pPr>
        <w:numPr>
          <w:ilvl w:val="0"/>
          <w:numId w:val="2"/>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中文操作界面、中文报警、操作提示信息、参数调节防错确认。</w:t>
      </w:r>
    </w:p>
    <w:p>
      <w:pPr>
        <w:numPr>
          <w:ilvl w:val="0"/>
          <w:numId w:val="2"/>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不小于120分钟内置后备可充电电池。</w:t>
      </w:r>
    </w:p>
    <w:p>
      <w:pPr>
        <w:numPr>
          <w:ilvl w:val="0"/>
          <w:numId w:val="2"/>
        </w:numPr>
        <w:snapToGrid w:val="0"/>
        <w:spacing w:line="360" w:lineRule="auto"/>
        <w:textAlignment w:val="baseline"/>
        <w:rPr>
          <w:rFonts w:ascii="微软雅黑" w:hAnsi="微软雅黑" w:eastAsia="微软雅黑"/>
          <w:szCs w:val="21"/>
        </w:rPr>
      </w:pPr>
      <w:r>
        <w:rPr>
          <w:rFonts w:hint="eastAsia" w:ascii="微软雅黑" w:hAnsi="微软雅黑" w:eastAsia="微软雅黑"/>
          <w:color w:val="FF0000"/>
          <w:szCs w:val="21"/>
        </w:rPr>
        <w:t>★</w:t>
      </w:r>
      <w:r>
        <w:rPr>
          <w:rFonts w:hint="eastAsia" w:ascii="微软雅黑" w:hAnsi="微软雅黑" w:eastAsia="微软雅黑"/>
          <w:szCs w:val="21"/>
        </w:rPr>
        <w:t>吸气安全阀组件可拆卸，并能高温高压蒸汽消毒（134℃），以防止交叉感染。</w:t>
      </w:r>
    </w:p>
    <w:p>
      <w:pPr>
        <w:numPr>
          <w:ilvl w:val="0"/>
          <w:numId w:val="2"/>
        </w:numPr>
        <w:snapToGrid w:val="0"/>
        <w:spacing w:line="360" w:lineRule="auto"/>
        <w:textAlignment w:val="baseline"/>
        <w:rPr>
          <w:rFonts w:ascii="微软雅黑" w:hAnsi="微软雅黑" w:eastAsia="微软雅黑"/>
          <w:szCs w:val="21"/>
        </w:rPr>
      </w:pPr>
      <w:r>
        <w:rPr>
          <w:rFonts w:hint="eastAsia" w:ascii="微软雅黑" w:hAnsi="微软雅黑" w:eastAsia="微软雅黑"/>
          <w:b/>
          <w:color w:val="FF0000"/>
          <w:szCs w:val="21"/>
        </w:rPr>
        <w:t>★</w:t>
      </w:r>
      <w:r>
        <w:rPr>
          <w:rFonts w:hint="eastAsia" w:ascii="微软雅黑" w:hAnsi="微软雅黑" w:eastAsia="微软雅黑"/>
          <w:szCs w:val="21"/>
        </w:rPr>
        <w:t>呼气阀组件一体化设计可拆卸，内置金属膜片压差流量传感器，精度高，寿命长，并能高温高压蒸汽消毒（134℃），以防止交叉感染。</w:t>
      </w:r>
    </w:p>
    <w:p>
      <w:pPr>
        <w:numPr>
          <w:ilvl w:val="0"/>
          <w:numId w:val="2"/>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病人数据、屏幕截图、机器设置等数据可通过USB接口导出。</w:t>
      </w:r>
    </w:p>
    <w:p>
      <w:pPr>
        <w:numPr>
          <w:ilvl w:val="0"/>
          <w:numId w:val="2"/>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具备智能吸痰功能，吸痰</w:t>
      </w:r>
      <w:r>
        <w:rPr>
          <w:rFonts w:ascii="微软雅黑" w:hAnsi="微软雅黑" w:eastAsia="微软雅黑"/>
          <w:szCs w:val="21"/>
        </w:rPr>
        <w:t>前后</w:t>
      </w:r>
      <w:r>
        <w:rPr>
          <w:rFonts w:hint="eastAsia" w:ascii="微软雅黑" w:hAnsi="微软雅黑" w:eastAsia="微软雅黑"/>
          <w:szCs w:val="21"/>
        </w:rPr>
        <w:t>能自动增氧，自动识别吸痰并具备计时功能。</w:t>
      </w:r>
    </w:p>
    <w:p>
      <w:pPr>
        <w:numPr>
          <w:ilvl w:val="0"/>
          <w:numId w:val="1"/>
        </w:numPr>
        <w:snapToGrid w:val="0"/>
        <w:spacing w:line="360" w:lineRule="auto"/>
        <w:textAlignment w:val="baseline"/>
        <w:rPr>
          <w:rFonts w:ascii="微软雅黑" w:hAnsi="微软雅黑" w:eastAsia="微软雅黑"/>
          <w:b/>
          <w:sz w:val="24"/>
        </w:rPr>
      </w:pPr>
      <w:r>
        <w:rPr>
          <w:rFonts w:hint="eastAsia" w:ascii="微软雅黑" w:hAnsi="微软雅黑" w:eastAsia="微软雅黑"/>
          <w:b/>
          <w:sz w:val="24"/>
        </w:rPr>
        <w:t>呼吸模式及功能</w:t>
      </w:r>
    </w:p>
    <w:p>
      <w:pPr>
        <w:numPr>
          <w:ilvl w:val="0"/>
          <w:numId w:val="3"/>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常规模式：容量控制通气下的辅助控制通气A/C和同步间歇指令通气SIMV（容量模式流速波形可调方波、5</w:t>
      </w:r>
      <w:r>
        <w:rPr>
          <w:rFonts w:ascii="微软雅黑" w:hAnsi="微软雅黑" w:eastAsia="微软雅黑"/>
          <w:szCs w:val="21"/>
        </w:rPr>
        <w:t>0</w:t>
      </w:r>
      <w:r>
        <w:rPr>
          <w:rFonts w:hint="eastAsia" w:ascii="微软雅黑" w:hAnsi="微软雅黑" w:eastAsia="微软雅黑"/>
          <w:szCs w:val="21"/>
        </w:rPr>
        <w:t>%或1</w:t>
      </w:r>
      <w:r>
        <w:rPr>
          <w:rFonts w:ascii="微软雅黑" w:hAnsi="微软雅黑" w:eastAsia="微软雅黑"/>
          <w:szCs w:val="21"/>
        </w:rPr>
        <w:t>00</w:t>
      </w:r>
      <w:r>
        <w:rPr>
          <w:rFonts w:hint="eastAsia" w:ascii="微软雅黑" w:hAnsi="微软雅黑" w:eastAsia="微软雅黑"/>
          <w:szCs w:val="21"/>
        </w:rPr>
        <w:t>%递减波）、压力控制通气下的辅助控制通气A/C和同步间歇指令通气SIMV、持续气道正压通气和压力支持CPAP/PSV、窒息通气模式及SIGH叹息模式。</w:t>
      </w:r>
    </w:p>
    <w:p>
      <w:pPr>
        <w:numPr>
          <w:ilvl w:val="0"/>
          <w:numId w:val="3"/>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高级模式：双水平气道正压通气（例如BIPAP或Bi-vent或Bilevel），压力调节容量控制通气（例如AUTOFLOW或PRVC或VC+）及其压力调节容量控制同步间歇指令通气SIMV（例如SIMV-PRVC）</w:t>
      </w:r>
    </w:p>
    <w:p>
      <w:pPr>
        <w:numPr>
          <w:ilvl w:val="0"/>
          <w:numId w:val="3"/>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无创通气模式，包含P-A/C、P-SIMV、CPAP/PSV、DuoLevel和 PSV-S/T等模式。</w:t>
      </w:r>
    </w:p>
    <w:p>
      <w:pPr>
        <w:numPr>
          <w:ilvl w:val="0"/>
          <w:numId w:val="3"/>
        </w:numPr>
        <w:snapToGrid w:val="0"/>
        <w:spacing w:line="360" w:lineRule="auto"/>
        <w:textAlignment w:val="baseline"/>
        <w:rPr>
          <w:rFonts w:ascii="微软雅黑" w:hAnsi="微软雅黑" w:eastAsia="微软雅黑"/>
          <w:szCs w:val="21"/>
        </w:rPr>
      </w:pPr>
      <w:r>
        <w:rPr>
          <w:rFonts w:hint="eastAsia" w:ascii="微软雅黑" w:hAnsi="微软雅黑" w:eastAsia="微软雅黑"/>
          <w:color w:val="FF0000"/>
          <w:szCs w:val="21"/>
        </w:rPr>
        <w:t>★</w:t>
      </w:r>
      <w:r>
        <w:rPr>
          <w:rFonts w:hint="eastAsia" w:ascii="微软雅黑" w:hAnsi="微软雅黑" w:eastAsia="微软雅黑"/>
          <w:szCs w:val="21"/>
        </w:rPr>
        <w:t>高流速氧疗功能，氧疗流速不低于</w:t>
      </w:r>
      <w:r>
        <w:rPr>
          <w:rFonts w:ascii="微软雅黑" w:hAnsi="微软雅黑" w:eastAsia="微软雅黑"/>
          <w:szCs w:val="21"/>
        </w:rPr>
        <w:t>6</w:t>
      </w:r>
      <w:r>
        <w:rPr>
          <w:rFonts w:hint="eastAsia" w:ascii="微软雅黑" w:hAnsi="微软雅黑" w:eastAsia="微软雅黑"/>
          <w:szCs w:val="21"/>
        </w:rPr>
        <w:t>0L/min，并具有氧疗计时功能。</w:t>
      </w:r>
    </w:p>
    <w:p>
      <w:pPr>
        <w:numPr>
          <w:ilvl w:val="0"/>
          <w:numId w:val="3"/>
        </w:numPr>
        <w:snapToGrid w:val="0"/>
        <w:spacing w:line="360" w:lineRule="auto"/>
        <w:textAlignment w:val="baseline"/>
        <w:rPr>
          <w:rFonts w:ascii="微软雅黑" w:hAnsi="微软雅黑" w:eastAsia="微软雅黑"/>
          <w:b/>
          <w:szCs w:val="21"/>
        </w:rPr>
      </w:pPr>
      <w:r>
        <w:rPr>
          <w:rFonts w:hint="eastAsia" w:ascii="微软雅黑" w:hAnsi="微软雅黑" w:eastAsia="微软雅黑"/>
          <w:color w:val="FF0000"/>
          <w:szCs w:val="21"/>
        </w:rPr>
        <w:t>★</w:t>
      </w:r>
      <w:r>
        <w:rPr>
          <w:rFonts w:hint="eastAsia" w:ascii="微软雅黑" w:hAnsi="微软雅黑" w:eastAsia="微软雅黑"/>
          <w:szCs w:val="21"/>
        </w:rPr>
        <w:t>具有智能同步技术提高病人自主呼吸时的舒适度和人机同步性，具备吸气触发、压力上升时间、呼气触发自动调节功能，无需医护人员频繁手动调节上述参数。</w:t>
      </w:r>
    </w:p>
    <w:p>
      <w:pPr>
        <w:numPr>
          <w:ilvl w:val="0"/>
          <w:numId w:val="3"/>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其他功能：具备手动呼吸、吸气保持、呼气保持、同步雾化、纯氧灌注、智能吸痰、内源性PEEP、口腔闭合压P0.1和最大吸气负压NIF的测定。</w:t>
      </w:r>
    </w:p>
    <w:p>
      <w:pPr>
        <w:numPr>
          <w:ilvl w:val="0"/>
          <w:numId w:val="1"/>
        </w:numPr>
        <w:snapToGrid w:val="0"/>
        <w:spacing w:line="360" w:lineRule="auto"/>
        <w:textAlignment w:val="baseline"/>
        <w:rPr>
          <w:rFonts w:ascii="微软雅黑" w:hAnsi="微软雅黑" w:eastAsia="微软雅黑"/>
          <w:b/>
          <w:sz w:val="24"/>
        </w:rPr>
      </w:pPr>
      <w:r>
        <w:rPr>
          <w:rFonts w:hint="eastAsia" w:ascii="微软雅黑" w:hAnsi="微软雅黑" w:eastAsia="微软雅黑"/>
          <w:b/>
          <w:sz w:val="24"/>
        </w:rPr>
        <w:t>设置参数要求</w:t>
      </w:r>
    </w:p>
    <w:p>
      <w:pPr>
        <w:numPr>
          <w:ilvl w:val="0"/>
          <w:numId w:val="4"/>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潮气量：</w:t>
      </w:r>
      <w:r>
        <w:rPr>
          <w:rFonts w:ascii="微软雅黑" w:hAnsi="微软雅黑" w:eastAsia="微软雅黑"/>
          <w:szCs w:val="21"/>
        </w:rPr>
        <w:t>5</w:t>
      </w:r>
      <w:r>
        <w:rPr>
          <w:rFonts w:hint="eastAsia" w:ascii="微软雅黑" w:hAnsi="微软雅黑" w:eastAsia="微软雅黑"/>
          <w:szCs w:val="21"/>
        </w:rPr>
        <w:t>0ml-2000ml</w:t>
      </w:r>
    </w:p>
    <w:p>
      <w:pPr>
        <w:numPr>
          <w:ilvl w:val="0"/>
          <w:numId w:val="4"/>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呼吸频率：1-100次/min</w:t>
      </w:r>
    </w:p>
    <w:p>
      <w:pPr>
        <w:numPr>
          <w:ilvl w:val="0"/>
          <w:numId w:val="4"/>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SIMV频率：1-60次/min</w:t>
      </w:r>
    </w:p>
    <w:p>
      <w:pPr>
        <w:numPr>
          <w:ilvl w:val="0"/>
          <w:numId w:val="4"/>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 xml:space="preserve">吸/呼比：1:10-4:1 </w:t>
      </w:r>
    </w:p>
    <w:p>
      <w:pPr>
        <w:numPr>
          <w:ilvl w:val="0"/>
          <w:numId w:val="4"/>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最大峰值流速：≥210L/min</w:t>
      </w:r>
    </w:p>
    <w:p>
      <w:pPr>
        <w:numPr>
          <w:ilvl w:val="0"/>
          <w:numId w:val="4"/>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吸气压力： 5-80 cmH2O</w:t>
      </w:r>
    </w:p>
    <w:p>
      <w:pPr>
        <w:numPr>
          <w:ilvl w:val="0"/>
          <w:numId w:val="4"/>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压力支持：0-80cmH2O</w:t>
      </w:r>
    </w:p>
    <w:p>
      <w:pPr>
        <w:numPr>
          <w:ilvl w:val="0"/>
          <w:numId w:val="4"/>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呼气末正压PEEP：0-50 cmH2O</w:t>
      </w:r>
    </w:p>
    <w:p>
      <w:pPr>
        <w:numPr>
          <w:ilvl w:val="0"/>
          <w:numId w:val="4"/>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压力触发灵敏度： -20 - 0.5cmH2O</w:t>
      </w:r>
    </w:p>
    <w:p>
      <w:pPr>
        <w:numPr>
          <w:ilvl w:val="0"/>
          <w:numId w:val="4"/>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流量触发灵敏度： 0.5-20L/ min</w:t>
      </w:r>
    </w:p>
    <w:p>
      <w:pPr>
        <w:numPr>
          <w:ilvl w:val="0"/>
          <w:numId w:val="4"/>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呼气触发灵敏度：Auto, 1-85%</w:t>
      </w:r>
    </w:p>
    <w:p>
      <w:pPr>
        <w:numPr>
          <w:ilvl w:val="0"/>
          <w:numId w:val="4"/>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氧浓度：21-100%</w:t>
      </w:r>
    </w:p>
    <w:p>
      <w:pPr>
        <w:numPr>
          <w:ilvl w:val="0"/>
          <w:numId w:val="4"/>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压力上升时间：0-2s</w:t>
      </w:r>
    </w:p>
    <w:p>
      <w:pPr>
        <w:numPr>
          <w:ilvl w:val="0"/>
          <w:numId w:val="4"/>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吸气时间：0.1-10s  (0.2-30s @ DuoLevel)</w:t>
      </w:r>
    </w:p>
    <w:p>
      <w:pPr>
        <w:numPr>
          <w:ilvl w:val="0"/>
          <w:numId w:val="1"/>
        </w:numPr>
        <w:snapToGrid w:val="0"/>
        <w:spacing w:line="360" w:lineRule="auto"/>
        <w:textAlignment w:val="baseline"/>
        <w:rPr>
          <w:rFonts w:ascii="微软雅黑" w:hAnsi="微软雅黑" w:eastAsia="微软雅黑"/>
          <w:b/>
          <w:sz w:val="24"/>
        </w:rPr>
      </w:pPr>
      <w:r>
        <w:rPr>
          <w:rFonts w:hint="eastAsia" w:ascii="微软雅黑" w:hAnsi="微软雅黑" w:eastAsia="微软雅黑"/>
          <w:b/>
          <w:sz w:val="24"/>
        </w:rPr>
        <w:t>监测参数要求</w:t>
      </w:r>
    </w:p>
    <w:p>
      <w:pPr>
        <w:numPr>
          <w:ilvl w:val="0"/>
          <w:numId w:val="5"/>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气道压力参数：呼气末正压PEEP、气道峰压、平台压、平均压。</w:t>
      </w:r>
    </w:p>
    <w:p>
      <w:pPr>
        <w:numPr>
          <w:ilvl w:val="0"/>
          <w:numId w:val="5"/>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分钟通气量参数：总的分钟呼出通气量、自主呼吸分钟呼出通气量、泄漏的分钟通气量、气体泄漏百分比。</w:t>
      </w:r>
    </w:p>
    <w:p>
      <w:pPr>
        <w:numPr>
          <w:ilvl w:val="0"/>
          <w:numId w:val="5"/>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潮气量参数：吸入潮气量、呼出潮气量。</w:t>
      </w:r>
    </w:p>
    <w:p>
      <w:pPr>
        <w:numPr>
          <w:ilvl w:val="0"/>
          <w:numId w:val="5"/>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呼吸频率参数：总呼吸频率、自主呼吸频率、机控呼吸频率。</w:t>
      </w:r>
    </w:p>
    <w:p>
      <w:pPr>
        <w:numPr>
          <w:ilvl w:val="0"/>
          <w:numId w:val="5"/>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氧浓度参数：吸入氧浓度。</w:t>
      </w:r>
    </w:p>
    <w:p>
      <w:pPr>
        <w:numPr>
          <w:ilvl w:val="0"/>
          <w:numId w:val="5"/>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肺力学参数：吸气阻力、呼气阻力、静态顺应性、动态顺应性、呼气时间常数。</w:t>
      </w:r>
    </w:p>
    <w:p>
      <w:pPr>
        <w:numPr>
          <w:ilvl w:val="0"/>
          <w:numId w:val="5"/>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其他参数：具备浅快呼吸指数、呼吸功监测。</w:t>
      </w:r>
    </w:p>
    <w:p>
      <w:pPr>
        <w:numPr>
          <w:ilvl w:val="0"/>
          <w:numId w:val="5"/>
        </w:numPr>
        <w:snapToGrid w:val="0"/>
        <w:spacing w:line="360" w:lineRule="auto"/>
        <w:textAlignment w:val="baseline"/>
        <w:rPr>
          <w:rFonts w:ascii="微软雅黑" w:hAnsi="微软雅黑" w:eastAsia="微软雅黑"/>
          <w:szCs w:val="21"/>
        </w:rPr>
      </w:pPr>
      <w:r>
        <w:rPr>
          <w:rFonts w:hint="eastAsia" w:ascii="微软雅黑" w:hAnsi="微软雅黑" w:eastAsia="微软雅黑"/>
          <w:b/>
          <w:color w:val="FF0000"/>
          <w:szCs w:val="21"/>
        </w:rPr>
        <w:t>★</w:t>
      </w:r>
      <w:r>
        <w:rPr>
          <w:rFonts w:hint="eastAsia" w:ascii="微软雅黑" w:hAnsi="微软雅黑" w:eastAsia="微软雅黑"/>
          <w:szCs w:val="21"/>
        </w:rPr>
        <w:t>屏幕显示：多至4道波形可同屏显示，波形的颜色可调，支持波形、动态肺视图、监测值同屏显示。</w:t>
      </w:r>
    </w:p>
    <w:p>
      <w:pPr>
        <w:numPr>
          <w:ilvl w:val="0"/>
          <w:numId w:val="5"/>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具备压力/容量、容量/流速、流速/压力环3种呼吸环监测，最多可同屏显示2种环图。</w:t>
      </w:r>
    </w:p>
    <w:p>
      <w:pPr>
        <w:numPr>
          <w:ilvl w:val="0"/>
          <w:numId w:val="5"/>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呼吸波形及呼吸环可冻结，呼吸环可存储、对比。支持波形、环图、监测值同屏显示。</w:t>
      </w:r>
    </w:p>
    <w:p>
      <w:pPr>
        <w:numPr>
          <w:ilvl w:val="0"/>
          <w:numId w:val="5"/>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趋势记录：可提供72小时的全部监测参数的趋势图、表分析。</w:t>
      </w:r>
    </w:p>
    <w:p>
      <w:pPr>
        <w:numPr>
          <w:ilvl w:val="0"/>
          <w:numId w:val="5"/>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日志记录：可提供最多</w:t>
      </w:r>
      <w:r>
        <w:rPr>
          <w:rFonts w:ascii="微软雅黑" w:hAnsi="微软雅黑" w:eastAsia="微软雅黑"/>
          <w:szCs w:val="21"/>
        </w:rPr>
        <w:t>1</w:t>
      </w:r>
      <w:r>
        <w:rPr>
          <w:rFonts w:hint="eastAsia" w:ascii="微软雅黑" w:hAnsi="微软雅黑" w:eastAsia="微软雅黑"/>
          <w:szCs w:val="21"/>
        </w:rPr>
        <w:t>000条历史事件信息的记录。</w:t>
      </w:r>
    </w:p>
    <w:p>
      <w:pPr>
        <w:numPr>
          <w:ilvl w:val="0"/>
          <w:numId w:val="1"/>
        </w:numPr>
        <w:snapToGrid w:val="0"/>
        <w:spacing w:line="360" w:lineRule="auto"/>
        <w:textAlignment w:val="baseline"/>
        <w:rPr>
          <w:rFonts w:ascii="微软雅黑" w:hAnsi="微软雅黑" w:eastAsia="微软雅黑"/>
          <w:b/>
          <w:sz w:val="24"/>
        </w:rPr>
      </w:pPr>
      <w:r>
        <w:rPr>
          <w:rFonts w:hint="eastAsia" w:ascii="微软雅黑" w:hAnsi="微软雅黑" w:eastAsia="微软雅黑"/>
          <w:b/>
          <w:sz w:val="24"/>
        </w:rPr>
        <w:t>报警要求</w:t>
      </w:r>
    </w:p>
    <w:p>
      <w:pPr>
        <w:numPr>
          <w:ilvl w:val="0"/>
          <w:numId w:val="6"/>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智能化分级报警、声光报警</w:t>
      </w:r>
    </w:p>
    <w:p>
      <w:pPr>
        <w:numPr>
          <w:ilvl w:val="0"/>
          <w:numId w:val="6"/>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气道压力：过高报警</w:t>
      </w:r>
    </w:p>
    <w:p>
      <w:pPr>
        <w:numPr>
          <w:ilvl w:val="0"/>
          <w:numId w:val="6"/>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呼出每分钟通气量：过高/过低报警</w:t>
      </w:r>
    </w:p>
    <w:p>
      <w:pPr>
        <w:numPr>
          <w:ilvl w:val="0"/>
          <w:numId w:val="6"/>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自主呼吸频率：过高报警</w:t>
      </w:r>
    </w:p>
    <w:p>
      <w:pPr>
        <w:numPr>
          <w:ilvl w:val="0"/>
          <w:numId w:val="6"/>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呼出潮气量：过高/过低报警</w:t>
      </w:r>
    </w:p>
    <w:p>
      <w:pPr>
        <w:numPr>
          <w:ilvl w:val="0"/>
          <w:numId w:val="6"/>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呼气末正压：过高/过低报警</w:t>
      </w:r>
    </w:p>
    <w:p>
      <w:pPr>
        <w:numPr>
          <w:ilvl w:val="0"/>
          <w:numId w:val="6"/>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吸入氧浓度：过高/过低报警</w:t>
      </w:r>
    </w:p>
    <w:p>
      <w:pPr>
        <w:numPr>
          <w:ilvl w:val="0"/>
          <w:numId w:val="6"/>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EtCO2：过高/过低报警</w:t>
      </w:r>
    </w:p>
    <w:p>
      <w:pPr>
        <w:numPr>
          <w:ilvl w:val="0"/>
          <w:numId w:val="6"/>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窒息报警，时间可设置（5-60s）</w:t>
      </w:r>
    </w:p>
    <w:p>
      <w:pPr>
        <w:numPr>
          <w:ilvl w:val="0"/>
          <w:numId w:val="6"/>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智能识别呼吸管路脱落、泄露、阻塞，关键器件故障</w:t>
      </w:r>
    </w:p>
    <w:p>
      <w:pPr>
        <w:numPr>
          <w:ilvl w:val="0"/>
          <w:numId w:val="6"/>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电源、气源中断报警</w:t>
      </w:r>
    </w:p>
    <w:p>
      <w:pPr>
        <w:numPr>
          <w:ilvl w:val="0"/>
          <w:numId w:val="6"/>
        </w:numPr>
        <w:snapToGrid w:val="0"/>
        <w:spacing w:line="360" w:lineRule="auto"/>
        <w:textAlignment w:val="baseline"/>
        <w:rPr>
          <w:rFonts w:ascii="微软雅黑" w:hAnsi="微软雅黑" w:eastAsia="微软雅黑"/>
          <w:szCs w:val="21"/>
        </w:rPr>
      </w:pPr>
      <w:r>
        <w:rPr>
          <w:rFonts w:hint="eastAsia" w:ascii="微软雅黑" w:hAnsi="微软雅黑" w:eastAsia="微软雅黑"/>
          <w:szCs w:val="21"/>
        </w:rPr>
        <w:t>电池低压报警</w:t>
      </w:r>
    </w:p>
    <w:p>
      <w:pPr>
        <w:pStyle w:val="12"/>
        <w:ind w:left="420" w:firstLine="0" w:firstLineChars="0"/>
        <w:rPr>
          <w:rFonts w:ascii="仿宋" w:hAnsi="仿宋" w:eastAsia="仿宋" w:cs="宋体"/>
          <w:b/>
          <w:bCs/>
          <w:color w:val="333333"/>
          <w:kern w:val="0"/>
          <w:sz w:val="28"/>
          <w:szCs w:val="28"/>
        </w:rPr>
      </w:pPr>
    </w:p>
    <w:p>
      <w:pPr>
        <w:pStyle w:val="12"/>
        <w:ind w:left="420" w:firstLine="0" w:firstLineChars="0"/>
        <w:rPr>
          <w:rFonts w:ascii="仿宋" w:hAnsi="仿宋" w:eastAsia="仿宋" w:cs="宋体"/>
          <w:b/>
          <w:bCs/>
          <w:color w:val="333333"/>
          <w:kern w:val="0"/>
          <w:sz w:val="28"/>
          <w:szCs w:val="28"/>
        </w:rPr>
      </w:pPr>
    </w:p>
    <w:p/>
    <w:p>
      <w:pPr>
        <w:spacing w:line="400" w:lineRule="exact"/>
        <w:rPr>
          <w:sz w:val="28"/>
          <w:szCs w:val="28"/>
        </w:rPr>
      </w:pPr>
    </w:p>
    <w:p>
      <w:pPr>
        <w:snapToGrid w:val="0"/>
        <w:spacing w:line="300" w:lineRule="auto"/>
        <w:contextualSpacing/>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3.4其它额外评标因素和标准：</w:t>
      </w:r>
    </w:p>
    <w:p>
      <w:pPr>
        <w:snapToGrid w:val="0"/>
        <w:spacing w:line="30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3.4.1、招标要求中的“</w:t>
      </w:r>
      <w:r>
        <w:rPr>
          <w:sz w:val="28"/>
          <w:szCs w:val="28"/>
        </w:rPr>
        <w:t>*</w:t>
      </w:r>
      <w:r>
        <w:rPr>
          <w:rFonts w:hint="eastAsia" w:ascii="仿宋" w:hAnsi="仿宋" w:eastAsia="仿宋" w:cs="宋体"/>
          <w:color w:val="333333"/>
          <w:kern w:val="0"/>
          <w:sz w:val="28"/>
          <w:szCs w:val="28"/>
        </w:rPr>
        <w:t>” 号项必须满足，任何一项不符，则废标。其他一般条款偏离达到3项废标。</w:t>
      </w:r>
    </w:p>
    <w:p>
      <w:pPr>
        <w:snapToGrid w:val="0"/>
        <w:spacing w:line="30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3.4.2、投标分项报价表与技术规格偏离表必须严格按照招标文件的要求制作，如果未按照招标文件的要求制作，由此产生的投标被否决的风险由投标人承担。 </w:t>
      </w:r>
    </w:p>
    <w:p>
      <w:pPr>
        <w:snapToGrid w:val="0"/>
        <w:spacing w:line="300" w:lineRule="auto"/>
        <w:ind w:firstLine="281" w:firstLineChars="100"/>
        <w:contextualSpacing/>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3.5采购标的需满足的服务标准、期限、效率等要求：</w:t>
      </w:r>
    </w:p>
    <w:p>
      <w:pPr>
        <w:snapToGrid w:val="0"/>
        <w:spacing w:line="30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响应时间：成交供应商应在收到买方电话4小时内响应，24小时到达现场。</w:t>
      </w:r>
    </w:p>
    <w:p>
      <w:pPr>
        <w:snapToGrid w:val="0"/>
        <w:spacing w:line="300" w:lineRule="auto"/>
        <w:ind w:firstLine="281" w:firstLineChars="100"/>
        <w:contextualSpacing/>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3.6采购标的的验收标准：</w:t>
      </w:r>
      <w:r>
        <w:rPr>
          <w:rFonts w:hint="eastAsia" w:ascii="仿宋" w:hAnsi="仿宋" w:eastAsia="仿宋" w:cs="宋体"/>
          <w:color w:val="333333"/>
          <w:kern w:val="0"/>
          <w:sz w:val="28"/>
          <w:szCs w:val="28"/>
        </w:rPr>
        <w:t>严格根据采购文件、响应文件以及国家相关规定、标准进行验收。</w:t>
      </w:r>
    </w:p>
    <w:p>
      <w:pPr>
        <w:snapToGrid w:val="0"/>
        <w:spacing w:line="300" w:lineRule="auto"/>
        <w:contextualSpacing/>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四、项目其他要求</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4.1签定合同日期：自成交公告结束后</w:t>
      </w:r>
      <w:r>
        <w:rPr>
          <w:rFonts w:hint="eastAsia" w:ascii="仿宋" w:hAnsi="仿宋" w:eastAsia="仿宋" w:cs="宋体"/>
          <w:color w:val="333333"/>
          <w:kern w:val="0"/>
          <w:sz w:val="28"/>
          <w:szCs w:val="28"/>
          <w:u w:val="single"/>
        </w:rPr>
        <w:t xml:space="preserve">15 </w:t>
      </w:r>
      <w:r>
        <w:rPr>
          <w:rFonts w:hint="eastAsia" w:ascii="仿宋" w:hAnsi="仿宋" w:eastAsia="仿宋" w:cs="宋体"/>
          <w:color w:val="333333"/>
          <w:kern w:val="0"/>
          <w:sz w:val="28"/>
          <w:szCs w:val="28"/>
        </w:rPr>
        <w:t>日内按时签约。</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 xml:space="preserve">4.2交货期（服务时间）：自合同签定之日起 </w:t>
      </w:r>
      <w:r>
        <w:rPr>
          <w:rFonts w:hint="eastAsia" w:ascii="仿宋" w:hAnsi="仿宋" w:eastAsia="仿宋" w:cs="宋体"/>
          <w:color w:val="333333"/>
          <w:kern w:val="0"/>
          <w:sz w:val="28"/>
          <w:szCs w:val="28"/>
          <w:u w:val="single"/>
        </w:rPr>
        <w:t xml:space="preserve">30 </w:t>
      </w:r>
      <w:r>
        <w:rPr>
          <w:rFonts w:hint="eastAsia" w:ascii="仿宋" w:hAnsi="仿宋" w:eastAsia="仿宋" w:cs="宋体"/>
          <w:color w:val="333333"/>
          <w:kern w:val="0"/>
          <w:sz w:val="28"/>
          <w:szCs w:val="28"/>
        </w:rPr>
        <w:t>日内。</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4.3交货（服务）地点：买方指定地点。</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4.4质保期限（自交货并验收合格之日起计）：质保期</w:t>
      </w:r>
      <w:r>
        <w:rPr>
          <w:rFonts w:hint="eastAsia" w:ascii="仿宋" w:hAnsi="仿宋" w:eastAsia="仿宋" w:cs="宋体"/>
          <w:color w:val="333333"/>
          <w:kern w:val="0"/>
          <w:sz w:val="28"/>
          <w:szCs w:val="28"/>
          <w:u w:val="single"/>
        </w:rPr>
        <w:t>1</w:t>
      </w:r>
      <w:r>
        <w:rPr>
          <w:rFonts w:hint="eastAsia" w:ascii="仿宋" w:hAnsi="仿宋" w:eastAsia="仿宋" w:cs="宋体"/>
          <w:color w:val="333333"/>
          <w:kern w:val="0"/>
          <w:sz w:val="28"/>
          <w:szCs w:val="28"/>
        </w:rPr>
        <w:t>年，终身维护。</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4.5验收方案、售后服务及其他（含安装、调试、培训、维护等）：成交供应商先期进行场地勘察，在交货期内将上述采购货物送到买方指定地点，并负责安装调试、提供技术援助、人员培训。</w:t>
      </w:r>
    </w:p>
    <w:p>
      <w:pPr>
        <w:snapToGrid w:val="0"/>
        <w:spacing w:line="300" w:lineRule="auto"/>
        <w:ind w:firstLine="560" w:firstLineChars="2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设备验收时间：设备试用后3个工作日内进行验收。</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验收方法：买方收货时应对产品的数量、型号、规格、包装等进行初步验收，验收无误应签署收货单；卖方需免费派工程师到达现场协助验收工作，保证货物经正确安装、正常运转和保养，在其使用寿命期内具有符合质量要求和产品说明书的性能。</w:t>
      </w:r>
    </w:p>
    <w:p>
      <w:pPr>
        <w:snapToGrid w:val="0"/>
        <w:spacing w:line="300" w:lineRule="auto"/>
        <w:contextualSpacing/>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五、付款时间和条件</w:t>
      </w:r>
    </w:p>
    <w:p>
      <w:pPr>
        <w:snapToGrid w:val="0"/>
        <w:spacing w:line="300" w:lineRule="auto"/>
        <w:ind w:firstLine="280" w:firstLineChars="100"/>
        <w:contextualSpacing/>
        <w:rPr>
          <w:rFonts w:ascii="仿宋" w:hAnsi="仿宋" w:eastAsia="仿宋" w:cs="宋体"/>
          <w:color w:val="333333"/>
          <w:kern w:val="0"/>
          <w:sz w:val="28"/>
          <w:szCs w:val="28"/>
        </w:rPr>
      </w:pPr>
      <w:r>
        <w:rPr>
          <w:rFonts w:hint="eastAsia" w:ascii="仿宋" w:hAnsi="仿宋" w:eastAsia="仿宋" w:cs="宋体"/>
          <w:color w:val="333333"/>
          <w:kern w:val="0"/>
          <w:sz w:val="28"/>
          <w:szCs w:val="28"/>
        </w:rPr>
        <w:t>货物交付验收合格、良好运行一个月后付货款的90%，质保期后无质量问题付清余款，不计息。</w:t>
      </w:r>
    </w:p>
    <w:p>
      <w:pPr>
        <w:widowControl/>
        <w:shd w:val="clear" w:color="auto" w:fill="FFFFFF"/>
        <w:spacing w:line="480" w:lineRule="exact"/>
        <w:jc w:val="left"/>
        <w:rPr>
          <w:rFonts w:ascii="仿宋" w:hAnsi="仿宋" w:eastAsia="仿宋" w:cs="宋体"/>
          <w:b/>
          <w:bCs/>
          <w:color w:val="333333"/>
          <w:kern w:val="0"/>
          <w:sz w:val="28"/>
          <w:szCs w:val="28"/>
        </w:rPr>
      </w:pPr>
      <w:r>
        <w:rPr>
          <w:rFonts w:hint="eastAsia" w:ascii="仿宋" w:hAnsi="仿宋" w:eastAsia="仿宋" w:cs="宋体"/>
          <w:b/>
          <w:bCs/>
          <w:color w:val="333333"/>
          <w:kern w:val="0"/>
          <w:sz w:val="28"/>
          <w:szCs w:val="28"/>
        </w:rPr>
        <w:t>六、特别提醒</w:t>
      </w:r>
    </w:p>
    <w:p>
      <w:pPr>
        <w:widowControl/>
        <w:shd w:val="clear" w:color="auto" w:fill="FFFFFF"/>
        <w:spacing w:line="440" w:lineRule="exact"/>
        <w:jc w:val="left"/>
        <w:rPr>
          <w:rFonts w:ascii="仿宋" w:hAnsi="仿宋" w:eastAsia="仿宋" w:cs="宋体"/>
          <w:color w:val="333333"/>
          <w:kern w:val="0"/>
          <w:sz w:val="28"/>
          <w:szCs w:val="28"/>
        </w:rPr>
      </w:pPr>
    </w:p>
    <w:p>
      <w:pPr>
        <w:widowControl/>
        <w:shd w:val="clear" w:color="auto" w:fill="FFFFFF"/>
        <w:spacing w:line="480" w:lineRule="exact"/>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请供应商仔细阅读项目需求。采购人的需求供应商应进行实事求是的响应。成交供应商在与采购人签订合同和履约环节中不得提出异议，一切后果和损失由成交供应商承担。供应商提供的服务与采购人项目需求要求不同的，必须做书面说明，否则视同完全响应。</w:t>
      </w:r>
    </w:p>
    <w:p>
      <w:pPr>
        <w:widowControl/>
        <w:shd w:val="clear" w:color="auto" w:fill="FFFFFF"/>
        <w:spacing w:line="440" w:lineRule="exact"/>
        <w:jc w:val="left"/>
        <w:rPr>
          <w:rFonts w:ascii="仿宋" w:hAnsi="仿宋" w:eastAsia="仿宋" w:cs="宋体"/>
          <w:color w:val="333333"/>
          <w:kern w:val="0"/>
          <w:sz w:val="28"/>
          <w:szCs w:val="28"/>
        </w:rPr>
      </w:pPr>
    </w:p>
    <w:p>
      <w:pPr>
        <w:widowControl/>
        <w:shd w:val="clear" w:color="auto" w:fill="FFFFFF"/>
        <w:spacing w:line="440" w:lineRule="exact"/>
        <w:jc w:val="left"/>
        <w:rPr>
          <w:rFonts w:ascii="仿宋" w:hAnsi="仿宋" w:eastAsia="仿宋" w:cs="宋体"/>
          <w:color w:val="333333"/>
          <w:kern w:val="0"/>
          <w:sz w:val="28"/>
          <w:szCs w:val="28"/>
        </w:rPr>
      </w:pPr>
    </w:p>
    <w:p>
      <w:pPr>
        <w:widowControl/>
        <w:shd w:val="clear" w:color="auto" w:fill="FFFFFF"/>
        <w:spacing w:line="440" w:lineRule="exact"/>
        <w:jc w:val="left"/>
        <w:rPr>
          <w:rFonts w:ascii="仿宋" w:hAnsi="仿宋" w:eastAsia="仿宋" w:cs="宋体"/>
          <w:color w:val="333333"/>
          <w:kern w:val="0"/>
          <w:sz w:val="28"/>
          <w:szCs w:val="28"/>
        </w:rPr>
      </w:pPr>
    </w:p>
    <w:p>
      <w:pPr>
        <w:snapToGrid w:val="0"/>
        <w:spacing w:line="300" w:lineRule="auto"/>
        <w:rPr>
          <w:rFonts w:ascii="仿宋" w:hAnsi="仿宋" w:eastAsia="仿宋"/>
          <w:b/>
          <w:sz w:val="28"/>
          <w:szCs w:val="28"/>
        </w:rPr>
      </w:pPr>
      <w:r>
        <w:rPr>
          <w:rFonts w:hint="eastAsia" w:ascii="仿宋" w:hAnsi="仿宋" w:eastAsia="仿宋"/>
          <w:b/>
          <w:sz w:val="28"/>
          <w:szCs w:val="28"/>
        </w:rPr>
        <w:t>附件1</w:t>
      </w:r>
    </w:p>
    <w:p>
      <w:pPr>
        <w:snapToGrid w:val="0"/>
        <w:spacing w:line="300" w:lineRule="auto"/>
        <w:jc w:val="center"/>
        <w:rPr>
          <w:rFonts w:ascii="仿宋" w:hAnsi="仿宋" w:eastAsia="仿宋"/>
          <w:b/>
          <w:sz w:val="36"/>
          <w:szCs w:val="36"/>
        </w:rPr>
      </w:pPr>
      <w:r>
        <w:rPr>
          <w:rFonts w:hint="eastAsia" w:ascii="仿宋" w:hAnsi="仿宋" w:eastAsia="仿宋"/>
          <w:b/>
          <w:sz w:val="36"/>
          <w:szCs w:val="36"/>
        </w:rPr>
        <w:t>海安市人民医院询价采购报价单</w:t>
      </w:r>
    </w:p>
    <w:p>
      <w:pPr>
        <w:adjustRightInd w:val="0"/>
        <w:spacing w:line="440" w:lineRule="exact"/>
        <w:ind w:firstLine="482"/>
        <w:jc w:val="center"/>
        <w:rPr>
          <w:rFonts w:ascii="仿宋" w:hAnsi="仿宋" w:eastAsia="仿宋"/>
          <w:b/>
          <w:sz w:val="32"/>
          <w:szCs w:val="32"/>
        </w:rPr>
      </w:pPr>
      <w:r>
        <w:rPr>
          <w:rFonts w:hint="eastAsia" w:ascii="仿宋" w:hAnsi="仿宋" w:eastAsia="仿宋"/>
          <w:b/>
          <w:sz w:val="32"/>
          <w:szCs w:val="32"/>
        </w:rPr>
        <w:t xml:space="preserve"> XXXXX项目</w:t>
      </w:r>
    </w:p>
    <w:p>
      <w:pPr>
        <w:adjustRightInd w:val="0"/>
        <w:spacing w:line="440" w:lineRule="exact"/>
        <w:ind w:firstLine="482"/>
        <w:jc w:val="center"/>
        <w:rPr>
          <w:rFonts w:ascii="仿宋" w:hAnsi="仿宋" w:eastAsia="仿宋"/>
          <w:b/>
          <w:sz w:val="32"/>
          <w:szCs w:val="32"/>
        </w:rPr>
      </w:pPr>
    </w:p>
    <w:p>
      <w:pPr>
        <w:spacing w:line="500" w:lineRule="exact"/>
        <w:rPr>
          <w:rFonts w:ascii="仿宋" w:hAnsi="仿宋" w:eastAsia="仿宋"/>
          <w:b/>
          <w:sz w:val="36"/>
          <w:szCs w:val="36"/>
        </w:rPr>
      </w:pPr>
      <w:r>
        <w:rPr>
          <w:rFonts w:hint="eastAsia" w:ascii="仿宋" w:hAnsi="仿宋" w:eastAsia="仿宋"/>
          <w:sz w:val="28"/>
          <w:szCs w:val="28"/>
        </w:rPr>
        <w:t xml:space="preserve">项目编号： </w:t>
      </w:r>
      <w:r>
        <w:rPr>
          <w:rFonts w:hint="eastAsia" w:ascii="仿宋" w:hAnsi="仿宋" w:eastAsia="仿宋"/>
          <w:b/>
          <w:sz w:val="36"/>
          <w:szCs w:val="36"/>
        </w:rPr>
        <w:t>XXXXX</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95"/>
        <w:gridCol w:w="1260"/>
        <w:gridCol w:w="1260"/>
        <w:gridCol w:w="1155"/>
        <w:gridCol w:w="1155"/>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tcPr>
          <w:p>
            <w:pPr>
              <w:snapToGrid w:val="0"/>
              <w:spacing w:line="300" w:lineRule="auto"/>
              <w:rPr>
                <w:rFonts w:ascii="仿宋" w:hAnsi="仿宋" w:eastAsia="仿宋"/>
                <w:b/>
                <w:sz w:val="28"/>
                <w:szCs w:val="28"/>
              </w:rPr>
            </w:pPr>
            <w:r>
              <w:rPr>
                <w:rFonts w:hint="eastAsia" w:ascii="仿宋" w:hAnsi="仿宋" w:eastAsia="仿宋"/>
                <w:b/>
                <w:sz w:val="28"/>
                <w:szCs w:val="28"/>
              </w:rPr>
              <w:t>序号</w:t>
            </w:r>
          </w:p>
        </w:tc>
        <w:tc>
          <w:tcPr>
            <w:tcW w:w="1995" w:type="dxa"/>
            <w:noWrap/>
          </w:tcPr>
          <w:p>
            <w:pPr>
              <w:snapToGrid w:val="0"/>
              <w:spacing w:line="300" w:lineRule="auto"/>
              <w:rPr>
                <w:rFonts w:ascii="仿宋" w:hAnsi="仿宋" w:eastAsia="仿宋"/>
                <w:b/>
                <w:sz w:val="28"/>
                <w:szCs w:val="28"/>
              </w:rPr>
            </w:pPr>
            <w:r>
              <w:rPr>
                <w:rFonts w:hint="eastAsia" w:ascii="仿宋" w:hAnsi="仿宋" w:eastAsia="仿宋"/>
                <w:b/>
                <w:sz w:val="28"/>
                <w:szCs w:val="28"/>
              </w:rPr>
              <w:t>项目</w:t>
            </w:r>
          </w:p>
        </w:tc>
        <w:tc>
          <w:tcPr>
            <w:tcW w:w="1260" w:type="dxa"/>
            <w:noWrap/>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品牌 规格 配置</w:t>
            </w:r>
          </w:p>
        </w:tc>
        <w:tc>
          <w:tcPr>
            <w:tcW w:w="1260" w:type="dxa"/>
            <w:noWrap/>
            <w:vAlign w:val="center"/>
          </w:tcPr>
          <w:p>
            <w:pPr>
              <w:snapToGrid w:val="0"/>
              <w:spacing w:line="300" w:lineRule="auto"/>
              <w:jc w:val="center"/>
              <w:rPr>
                <w:rFonts w:ascii="仿宋" w:hAnsi="仿宋" w:eastAsia="仿宋"/>
                <w:b/>
                <w:sz w:val="28"/>
                <w:szCs w:val="28"/>
              </w:rPr>
            </w:pPr>
            <w:r>
              <w:rPr>
                <w:rFonts w:hint="eastAsia" w:ascii="仿宋" w:hAnsi="仿宋" w:eastAsia="仿宋"/>
                <w:b/>
                <w:sz w:val="28"/>
                <w:szCs w:val="28"/>
              </w:rPr>
              <w:t>数量</w:t>
            </w:r>
          </w:p>
        </w:tc>
        <w:tc>
          <w:tcPr>
            <w:tcW w:w="1155" w:type="dxa"/>
            <w:noWrap/>
          </w:tcPr>
          <w:p>
            <w:pPr>
              <w:snapToGrid w:val="0"/>
              <w:spacing w:line="300" w:lineRule="auto"/>
              <w:jc w:val="center"/>
              <w:rPr>
                <w:rFonts w:ascii="仿宋" w:hAnsi="仿宋" w:eastAsia="仿宋"/>
                <w:b/>
                <w:sz w:val="28"/>
                <w:szCs w:val="28"/>
              </w:rPr>
            </w:pPr>
            <w:r>
              <w:rPr>
                <w:rFonts w:hint="eastAsia" w:ascii="仿宋" w:hAnsi="仿宋" w:eastAsia="仿宋"/>
                <w:b/>
                <w:sz w:val="28"/>
                <w:szCs w:val="28"/>
              </w:rPr>
              <w:t>单价</w:t>
            </w:r>
          </w:p>
          <w:p>
            <w:pPr>
              <w:snapToGrid w:val="0"/>
              <w:spacing w:line="300" w:lineRule="auto"/>
              <w:jc w:val="center"/>
              <w:rPr>
                <w:rFonts w:ascii="仿宋" w:hAnsi="仿宋" w:eastAsia="仿宋"/>
                <w:b/>
                <w:sz w:val="28"/>
                <w:szCs w:val="28"/>
              </w:rPr>
            </w:pPr>
            <w:r>
              <w:rPr>
                <w:rFonts w:hint="eastAsia" w:ascii="仿宋" w:hAnsi="仿宋" w:eastAsia="仿宋"/>
                <w:b/>
                <w:sz w:val="28"/>
                <w:szCs w:val="28"/>
              </w:rPr>
              <w:t>（元）</w:t>
            </w:r>
          </w:p>
        </w:tc>
        <w:tc>
          <w:tcPr>
            <w:tcW w:w="1155" w:type="dxa"/>
            <w:noWrap/>
          </w:tcPr>
          <w:p>
            <w:pPr>
              <w:snapToGrid w:val="0"/>
              <w:spacing w:line="300" w:lineRule="auto"/>
              <w:jc w:val="center"/>
              <w:rPr>
                <w:rFonts w:ascii="仿宋" w:hAnsi="仿宋" w:eastAsia="仿宋"/>
                <w:b/>
                <w:sz w:val="28"/>
                <w:szCs w:val="28"/>
              </w:rPr>
            </w:pPr>
            <w:r>
              <w:rPr>
                <w:rFonts w:hint="eastAsia" w:ascii="仿宋" w:hAnsi="仿宋" w:eastAsia="仿宋"/>
                <w:b/>
                <w:sz w:val="28"/>
                <w:szCs w:val="28"/>
              </w:rPr>
              <w:t>金额</w:t>
            </w:r>
          </w:p>
          <w:p>
            <w:pPr>
              <w:snapToGrid w:val="0"/>
              <w:spacing w:line="300" w:lineRule="auto"/>
              <w:jc w:val="center"/>
              <w:rPr>
                <w:rFonts w:ascii="仿宋" w:hAnsi="仿宋" w:eastAsia="仿宋"/>
                <w:b/>
                <w:sz w:val="28"/>
                <w:szCs w:val="28"/>
              </w:rPr>
            </w:pPr>
            <w:r>
              <w:rPr>
                <w:rFonts w:hint="eastAsia" w:ascii="仿宋" w:hAnsi="仿宋" w:eastAsia="仿宋"/>
                <w:b/>
                <w:sz w:val="28"/>
                <w:szCs w:val="28"/>
              </w:rPr>
              <w:t>（元）</w:t>
            </w:r>
          </w:p>
        </w:tc>
        <w:tc>
          <w:tcPr>
            <w:tcW w:w="959" w:type="dxa"/>
            <w:noWrap/>
            <w:vAlign w:val="center"/>
          </w:tcPr>
          <w:p>
            <w:pPr>
              <w:snapToGrid w:val="0"/>
              <w:spacing w:line="300" w:lineRule="auto"/>
              <w:ind w:firstLine="138" w:firstLineChars="49"/>
              <w:jc w:val="center"/>
              <w:rPr>
                <w:rFonts w:ascii="仿宋" w:hAnsi="仿宋" w:eastAsia="仿宋"/>
                <w:b/>
                <w:sz w:val="28"/>
                <w:szCs w:val="28"/>
              </w:rPr>
            </w:pPr>
            <w:r>
              <w:rPr>
                <w:rFonts w:hint="eastAsia" w:ascii="仿宋" w:hAnsi="仿宋" w:eastAsia="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tcPr>
          <w:p>
            <w:pPr>
              <w:snapToGrid w:val="0"/>
              <w:spacing w:line="300" w:lineRule="auto"/>
              <w:rPr>
                <w:rFonts w:ascii="仿宋" w:hAnsi="仿宋" w:eastAsia="仿宋"/>
                <w:b/>
                <w:sz w:val="28"/>
                <w:szCs w:val="28"/>
              </w:rPr>
            </w:pPr>
            <w:r>
              <w:rPr>
                <w:rFonts w:hint="eastAsia" w:ascii="仿宋" w:hAnsi="仿宋" w:eastAsia="仿宋"/>
                <w:b/>
                <w:sz w:val="28"/>
                <w:szCs w:val="28"/>
              </w:rPr>
              <w:t>1</w:t>
            </w:r>
          </w:p>
        </w:tc>
        <w:tc>
          <w:tcPr>
            <w:tcW w:w="1995"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959" w:type="dxa"/>
            <w:noWrap/>
          </w:tcPr>
          <w:p>
            <w:pPr>
              <w:snapToGrid w:val="0"/>
              <w:spacing w:line="300" w:lineRule="auto"/>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tcPr>
          <w:p>
            <w:pPr>
              <w:snapToGrid w:val="0"/>
              <w:spacing w:line="300" w:lineRule="auto"/>
              <w:rPr>
                <w:rFonts w:ascii="仿宋" w:hAnsi="仿宋" w:eastAsia="仿宋"/>
                <w:b/>
                <w:sz w:val="28"/>
                <w:szCs w:val="28"/>
              </w:rPr>
            </w:pPr>
          </w:p>
        </w:tc>
        <w:tc>
          <w:tcPr>
            <w:tcW w:w="1995"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959" w:type="dxa"/>
            <w:noWrap/>
          </w:tcPr>
          <w:p>
            <w:pPr>
              <w:snapToGrid w:val="0"/>
              <w:spacing w:line="300" w:lineRule="auto"/>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tcPr>
          <w:p>
            <w:pPr>
              <w:snapToGrid w:val="0"/>
              <w:spacing w:line="300" w:lineRule="auto"/>
              <w:rPr>
                <w:rFonts w:ascii="仿宋" w:hAnsi="仿宋" w:eastAsia="仿宋"/>
                <w:b/>
                <w:sz w:val="28"/>
                <w:szCs w:val="28"/>
              </w:rPr>
            </w:pPr>
          </w:p>
        </w:tc>
        <w:tc>
          <w:tcPr>
            <w:tcW w:w="1995"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959" w:type="dxa"/>
            <w:noWrap/>
          </w:tcPr>
          <w:p>
            <w:pPr>
              <w:snapToGrid w:val="0"/>
              <w:spacing w:line="300" w:lineRule="auto"/>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tcPr>
          <w:p>
            <w:pPr>
              <w:snapToGrid w:val="0"/>
              <w:spacing w:line="300" w:lineRule="auto"/>
              <w:rPr>
                <w:rFonts w:ascii="仿宋" w:hAnsi="仿宋" w:eastAsia="仿宋"/>
                <w:b/>
                <w:sz w:val="28"/>
                <w:szCs w:val="28"/>
              </w:rPr>
            </w:pPr>
          </w:p>
        </w:tc>
        <w:tc>
          <w:tcPr>
            <w:tcW w:w="1995" w:type="dxa"/>
            <w:noWrap/>
          </w:tcPr>
          <w:p>
            <w:pPr>
              <w:snapToGrid w:val="0"/>
              <w:spacing w:line="300" w:lineRule="auto"/>
              <w:rPr>
                <w:rFonts w:ascii="仿宋" w:hAnsi="仿宋" w:eastAsia="仿宋"/>
                <w:b/>
                <w:sz w:val="28"/>
                <w:szCs w:val="28"/>
              </w:rPr>
            </w:pPr>
            <w:r>
              <w:rPr>
                <w:rFonts w:hint="eastAsia" w:ascii="仿宋" w:hAnsi="仿宋" w:eastAsia="仿宋"/>
                <w:sz w:val="28"/>
                <w:szCs w:val="28"/>
              </w:rPr>
              <w:t xml:space="preserve">合  计       </w:t>
            </w:r>
          </w:p>
        </w:tc>
        <w:tc>
          <w:tcPr>
            <w:tcW w:w="1260" w:type="dxa"/>
            <w:noWrap/>
          </w:tcPr>
          <w:p>
            <w:pPr>
              <w:snapToGrid w:val="0"/>
              <w:spacing w:line="300" w:lineRule="auto"/>
              <w:rPr>
                <w:rFonts w:ascii="仿宋" w:hAnsi="仿宋" w:eastAsia="仿宋"/>
                <w:b/>
                <w:sz w:val="28"/>
                <w:szCs w:val="28"/>
              </w:rPr>
            </w:pPr>
          </w:p>
        </w:tc>
        <w:tc>
          <w:tcPr>
            <w:tcW w:w="1260"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1155" w:type="dxa"/>
            <w:noWrap/>
          </w:tcPr>
          <w:p>
            <w:pPr>
              <w:snapToGrid w:val="0"/>
              <w:spacing w:line="300" w:lineRule="auto"/>
              <w:rPr>
                <w:rFonts w:ascii="仿宋" w:hAnsi="仿宋" w:eastAsia="仿宋"/>
                <w:b/>
                <w:sz w:val="28"/>
                <w:szCs w:val="28"/>
              </w:rPr>
            </w:pPr>
          </w:p>
        </w:tc>
        <w:tc>
          <w:tcPr>
            <w:tcW w:w="959" w:type="dxa"/>
            <w:noWrap/>
          </w:tcPr>
          <w:p>
            <w:pPr>
              <w:snapToGrid w:val="0"/>
              <w:spacing w:line="300" w:lineRule="auto"/>
              <w:rPr>
                <w:rFonts w:ascii="仿宋" w:hAnsi="仿宋" w:eastAsia="仿宋"/>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dxa"/>
            <w:noWrap/>
          </w:tcPr>
          <w:p>
            <w:pPr>
              <w:snapToGrid w:val="0"/>
              <w:spacing w:line="300" w:lineRule="auto"/>
              <w:rPr>
                <w:rFonts w:ascii="仿宋" w:hAnsi="仿宋" w:eastAsia="仿宋"/>
                <w:b/>
                <w:sz w:val="28"/>
                <w:szCs w:val="28"/>
              </w:rPr>
            </w:pPr>
          </w:p>
        </w:tc>
        <w:tc>
          <w:tcPr>
            <w:tcW w:w="7784" w:type="dxa"/>
            <w:gridSpan w:val="6"/>
            <w:noWrap/>
          </w:tcPr>
          <w:p>
            <w:pPr>
              <w:snapToGrid w:val="0"/>
              <w:spacing w:line="300" w:lineRule="auto"/>
              <w:rPr>
                <w:rFonts w:ascii="仿宋" w:hAnsi="仿宋" w:eastAsia="仿宋"/>
                <w:b/>
                <w:sz w:val="28"/>
                <w:szCs w:val="28"/>
              </w:rPr>
            </w:pPr>
            <w:r>
              <w:rPr>
                <w:rFonts w:hint="eastAsia" w:ascii="仿宋" w:hAnsi="仿宋" w:eastAsia="仿宋"/>
                <w:sz w:val="28"/>
                <w:szCs w:val="28"/>
              </w:rPr>
              <w:t>总报价（大写）</w:t>
            </w:r>
          </w:p>
        </w:tc>
      </w:tr>
    </w:tbl>
    <w:p>
      <w:pPr>
        <w:snapToGrid w:val="0"/>
        <w:spacing w:line="300" w:lineRule="auto"/>
        <w:rPr>
          <w:rFonts w:ascii="仿宋" w:hAnsi="仿宋" w:eastAsia="仿宋"/>
          <w:b/>
          <w:sz w:val="28"/>
          <w:szCs w:val="28"/>
        </w:rPr>
      </w:pPr>
    </w:p>
    <w:p>
      <w:pPr>
        <w:snapToGrid w:val="0"/>
        <w:spacing w:line="300" w:lineRule="auto"/>
        <w:rPr>
          <w:rFonts w:ascii="仿宋" w:hAnsi="仿宋" w:eastAsia="仿宋"/>
          <w:b/>
          <w:sz w:val="30"/>
          <w:szCs w:val="30"/>
        </w:rPr>
      </w:pPr>
      <w:r>
        <w:rPr>
          <w:rFonts w:hint="eastAsia" w:ascii="仿宋" w:hAnsi="仿宋" w:eastAsia="仿宋"/>
          <w:b/>
          <w:sz w:val="32"/>
          <w:szCs w:val="32"/>
        </w:rPr>
        <w:t>注：</w:t>
      </w:r>
      <w:r>
        <w:rPr>
          <w:rFonts w:hint="eastAsia" w:ascii="仿宋" w:hAnsi="仿宋" w:eastAsia="仿宋"/>
          <w:b/>
          <w:sz w:val="30"/>
          <w:szCs w:val="30"/>
        </w:rPr>
        <w:t>1.有限价标注的，报价时不得突破，否则作为无效响应。</w:t>
      </w:r>
    </w:p>
    <w:p>
      <w:pPr>
        <w:snapToGrid w:val="0"/>
        <w:spacing w:line="300" w:lineRule="auto"/>
        <w:rPr>
          <w:rFonts w:ascii="仿宋" w:hAnsi="仿宋" w:eastAsia="仿宋"/>
          <w:sz w:val="30"/>
          <w:szCs w:val="30"/>
        </w:rPr>
      </w:pPr>
      <w:r>
        <w:rPr>
          <w:rFonts w:hint="eastAsia" w:ascii="仿宋" w:hAnsi="仿宋" w:eastAsia="仿宋"/>
          <w:b/>
          <w:sz w:val="30"/>
          <w:szCs w:val="30"/>
        </w:rPr>
        <w:t xml:space="preserve">     2.大写金额和小写金额不一致的，以大写金额为准。</w:t>
      </w:r>
    </w:p>
    <w:p>
      <w:pPr>
        <w:snapToGrid w:val="0"/>
        <w:spacing w:line="300" w:lineRule="auto"/>
        <w:rPr>
          <w:rFonts w:ascii="仿宋" w:hAnsi="仿宋" w:eastAsia="仿宋"/>
          <w:b/>
          <w:sz w:val="28"/>
          <w:szCs w:val="28"/>
        </w:rPr>
      </w:pPr>
    </w:p>
    <w:p>
      <w:pPr>
        <w:snapToGrid w:val="0"/>
        <w:spacing w:line="300" w:lineRule="auto"/>
        <w:rPr>
          <w:rFonts w:ascii="仿宋" w:hAnsi="仿宋" w:eastAsia="仿宋"/>
          <w:sz w:val="28"/>
          <w:szCs w:val="28"/>
        </w:rPr>
      </w:pPr>
      <w:r>
        <w:rPr>
          <w:rFonts w:hint="eastAsia" w:ascii="仿宋" w:hAnsi="仿宋" w:eastAsia="仿宋"/>
          <w:sz w:val="28"/>
          <w:szCs w:val="28"/>
        </w:rPr>
        <w:t>法定代表人或委托代理人（签名）：</w:t>
      </w:r>
    </w:p>
    <w:p>
      <w:pPr>
        <w:snapToGrid w:val="0"/>
        <w:spacing w:line="300" w:lineRule="auto"/>
        <w:rPr>
          <w:rFonts w:ascii="仿宋" w:hAnsi="仿宋" w:eastAsia="仿宋"/>
          <w:sz w:val="28"/>
          <w:szCs w:val="28"/>
        </w:rPr>
      </w:pPr>
      <w:r>
        <w:rPr>
          <w:rFonts w:hint="eastAsia" w:ascii="仿宋" w:hAnsi="仿宋" w:eastAsia="仿宋"/>
          <w:sz w:val="28"/>
          <w:szCs w:val="28"/>
        </w:rPr>
        <w:t>报价人名称（公章）：</w:t>
      </w:r>
    </w:p>
    <w:p>
      <w:pPr>
        <w:snapToGrid w:val="0"/>
        <w:spacing w:line="300" w:lineRule="auto"/>
        <w:rPr>
          <w:rFonts w:ascii="仿宋" w:hAnsi="仿宋" w:eastAsia="仿宋"/>
          <w:sz w:val="28"/>
          <w:szCs w:val="28"/>
        </w:rPr>
      </w:pPr>
      <w:r>
        <w:rPr>
          <w:rFonts w:hint="eastAsia" w:ascii="仿宋" w:hAnsi="仿宋" w:eastAsia="仿宋"/>
          <w:sz w:val="28"/>
          <w:szCs w:val="28"/>
        </w:rPr>
        <w:t>报价人：</w:t>
      </w:r>
    </w:p>
    <w:p>
      <w:pPr>
        <w:snapToGrid w:val="0"/>
        <w:spacing w:line="300" w:lineRule="auto"/>
        <w:rPr>
          <w:rFonts w:ascii="仿宋" w:hAnsi="仿宋" w:eastAsia="仿宋"/>
          <w:sz w:val="28"/>
          <w:szCs w:val="28"/>
        </w:rPr>
      </w:pPr>
      <w:r>
        <w:rPr>
          <w:rFonts w:hint="eastAsia" w:ascii="仿宋" w:hAnsi="仿宋" w:eastAsia="仿宋"/>
          <w:sz w:val="28"/>
          <w:szCs w:val="28"/>
        </w:rPr>
        <w:t>报价人联系电话：</w:t>
      </w:r>
    </w:p>
    <w:p>
      <w:pPr>
        <w:snapToGrid w:val="0"/>
        <w:spacing w:line="300" w:lineRule="auto"/>
        <w:rPr>
          <w:rFonts w:ascii="仿宋" w:hAnsi="仿宋" w:eastAsia="仿宋"/>
          <w:sz w:val="28"/>
          <w:szCs w:val="28"/>
        </w:rPr>
      </w:pPr>
      <w:r>
        <w:rPr>
          <w:rFonts w:hint="eastAsia" w:ascii="仿宋" w:hAnsi="仿宋" w:eastAsia="仿宋"/>
          <w:sz w:val="28"/>
          <w:szCs w:val="28"/>
        </w:rPr>
        <w:t>付款承诺：</w:t>
      </w:r>
    </w:p>
    <w:p>
      <w:pPr>
        <w:snapToGrid w:val="0"/>
        <w:spacing w:line="300" w:lineRule="auto"/>
        <w:rPr>
          <w:rFonts w:hint="eastAsia" w:ascii="仿宋" w:hAnsi="仿宋" w:eastAsia="仿宋" w:cs="宋体"/>
          <w:color w:val="333333"/>
          <w:kern w:val="0"/>
          <w:sz w:val="28"/>
          <w:szCs w:val="28"/>
          <w:lang w:eastAsia="zh-CN"/>
        </w:rPr>
      </w:pPr>
      <w:r>
        <w:rPr>
          <w:rFonts w:hint="eastAsia" w:ascii="仿宋" w:hAnsi="仿宋" w:eastAsia="仿宋"/>
          <w:sz w:val="28"/>
          <w:szCs w:val="28"/>
        </w:rPr>
        <w:t>其它承诺</w:t>
      </w:r>
      <w:r>
        <w:rPr>
          <w:rFonts w:hint="eastAsia" w:ascii="仿宋" w:hAnsi="仿宋" w:eastAsia="仿宋"/>
          <w:sz w:val="28"/>
          <w:szCs w:val="28"/>
          <w:lang w:eastAsia="zh-CN"/>
        </w:rPr>
        <w:t>：</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2"/>
    <w:multiLevelType w:val="multilevel"/>
    <w:tmpl w:val="0000000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3"/>
    <w:multiLevelType w:val="multilevel"/>
    <w:tmpl w:val="000000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4"/>
    <w:multiLevelType w:val="multilevel"/>
    <w:tmpl w:val="0000000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5"/>
    <w:multiLevelType w:val="multilevel"/>
    <w:tmpl w:val="0000000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6"/>
    <w:multiLevelType w:val="multilevel"/>
    <w:tmpl w:val="00000006"/>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JkZDFjZGMyMmRmOWUwYzBkNmY3MTdmNWY5ODYxYjYifQ=="/>
  </w:docVars>
  <w:rsids>
    <w:rsidRoot w:val="00636E74"/>
    <w:rsid w:val="0008109B"/>
    <w:rsid w:val="000D0D8B"/>
    <w:rsid w:val="000D5C27"/>
    <w:rsid w:val="000E6A02"/>
    <w:rsid w:val="000F3612"/>
    <w:rsid w:val="001A4780"/>
    <w:rsid w:val="00300433"/>
    <w:rsid w:val="003251A6"/>
    <w:rsid w:val="003C0247"/>
    <w:rsid w:val="003D4E64"/>
    <w:rsid w:val="004C0666"/>
    <w:rsid w:val="004C57D3"/>
    <w:rsid w:val="00636E74"/>
    <w:rsid w:val="007D7FE3"/>
    <w:rsid w:val="00861C48"/>
    <w:rsid w:val="008F116D"/>
    <w:rsid w:val="00927744"/>
    <w:rsid w:val="00940237"/>
    <w:rsid w:val="009A0A64"/>
    <w:rsid w:val="009F5608"/>
    <w:rsid w:val="00A16153"/>
    <w:rsid w:val="00C152A8"/>
    <w:rsid w:val="00CB7123"/>
    <w:rsid w:val="00CE4722"/>
    <w:rsid w:val="00D17DB2"/>
    <w:rsid w:val="00D86FF3"/>
    <w:rsid w:val="00EB5326"/>
    <w:rsid w:val="00EF62F5"/>
    <w:rsid w:val="00F61444"/>
    <w:rsid w:val="00F62D27"/>
    <w:rsid w:val="00F667C3"/>
    <w:rsid w:val="00F96009"/>
    <w:rsid w:val="00FD4781"/>
    <w:rsid w:val="00FF37A4"/>
    <w:rsid w:val="02AB0941"/>
    <w:rsid w:val="04AB674B"/>
    <w:rsid w:val="05095CB8"/>
    <w:rsid w:val="051C799F"/>
    <w:rsid w:val="054D707F"/>
    <w:rsid w:val="055B7809"/>
    <w:rsid w:val="05737E05"/>
    <w:rsid w:val="07A1652D"/>
    <w:rsid w:val="08512B88"/>
    <w:rsid w:val="08CB7EDE"/>
    <w:rsid w:val="09227C4C"/>
    <w:rsid w:val="0BB44275"/>
    <w:rsid w:val="0F420753"/>
    <w:rsid w:val="0F615697"/>
    <w:rsid w:val="12265D3A"/>
    <w:rsid w:val="13FA4AF9"/>
    <w:rsid w:val="188527A2"/>
    <w:rsid w:val="18C82169"/>
    <w:rsid w:val="18CE6F8F"/>
    <w:rsid w:val="1A3D3BF8"/>
    <w:rsid w:val="1BB75018"/>
    <w:rsid w:val="1BD2213B"/>
    <w:rsid w:val="1C2B429F"/>
    <w:rsid w:val="1C4209FC"/>
    <w:rsid w:val="1CF57E24"/>
    <w:rsid w:val="1D214B62"/>
    <w:rsid w:val="1D710427"/>
    <w:rsid w:val="1D734BD5"/>
    <w:rsid w:val="1D8204B6"/>
    <w:rsid w:val="2045770A"/>
    <w:rsid w:val="208D1003"/>
    <w:rsid w:val="276D6DCD"/>
    <w:rsid w:val="27805FBC"/>
    <w:rsid w:val="27CB10BD"/>
    <w:rsid w:val="28B0114F"/>
    <w:rsid w:val="2A275371"/>
    <w:rsid w:val="2A2A097C"/>
    <w:rsid w:val="2A77252D"/>
    <w:rsid w:val="2BB50FE4"/>
    <w:rsid w:val="2E087145"/>
    <w:rsid w:val="2F2D088A"/>
    <w:rsid w:val="2F627E2A"/>
    <w:rsid w:val="30313057"/>
    <w:rsid w:val="30400AD4"/>
    <w:rsid w:val="304444C8"/>
    <w:rsid w:val="31944576"/>
    <w:rsid w:val="31D20CBD"/>
    <w:rsid w:val="340E16D9"/>
    <w:rsid w:val="35DF57D2"/>
    <w:rsid w:val="381B658D"/>
    <w:rsid w:val="38AF2912"/>
    <w:rsid w:val="3B8962C2"/>
    <w:rsid w:val="3DA5569E"/>
    <w:rsid w:val="3E9E45D5"/>
    <w:rsid w:val="3FF948E9"/>
    <w:rsid w:val="40B41052"/>
    <w:rsid w:val="44E6731E"/>
    <w:rsid w:val="452627E2"/>
    <w:rsid w:val="45ED4171"/>
    <w:rsid w:val="46BF51C9"/>
    <w:rsid w:val="491E0D53"/>
    <w:rsid w:val="49C4715E"/>
    <w:rsid w:val="4A36016B"/>
    <w:rsid w:val="4A3B52FF"/>
    <w:rsid w:val="4AEC73C7"/>
    <w:rsid w:val="4AF4653C"/>
    <w:rsid w:val="4B443FA2"/>
    <w:rsid w:val="4C0C4385"/>
    <w:rsid w:val="4E4D3EF8"/>
    <w:rsid w:val="4F2035BE"/>
    <w:rsid w:val="4F9968F0"/>
    <w:rsid w:val="4FCE52B8"/>
    <w:rsid w:val="4FCF109F"/>
    <w:rsid w:val="50804906"/>
    <w:rsid w:val="51E72EA1"/>
    <w:rsid w:val="55D96DFE"/>
    <w:rsid w:val="5662170E"/>
    <w:rsid w:val="5915058F"/>
    <w:rsid w:val="5BC46118"/>
    <w:rsid w:val="5C913404"/>
    <w:rsid w:val="5D2326A2"/>
    <w:rsid w:val="5D7C62B1"/>
    <w:rsid w:val="5E39324F"/>
    <w:rsid w:val="5E847993"/>
    <w:rsid w:val="5F792930"/>
    <w:rsid w:val="63C03FB5"/>
    <w:rsid w:val="63FD1731"/>
    <w:rsid w:val="655A2316"/>
    <w:rsid w:val="66811B16"/>
    <w:rsid w:val="6728607A"/>
    <w:rsid w:val="675D57CC"/>
    <w:rsid w:val="67FE5C57"/>
    <w:rsid w:val="68126C46"/>
    <w:rsid w:val="68A556CB"/>
    <w:rsid w:val="6A5B0572"/>
    <w:rsid w:val="6AF131DF"/>
    <w:rsid w:val="6B7768A3"/>
    <w:rsid w:val="6C6B7AF6"/>
    <w:rsid w:val="6CCF54EA"/>
    <w:rsid w:val="6E0F7AC0"/>
    <w:rsid w:val="6F0635ED"/>
    <w:rsid w:val="708A46C3"/>
    <w:rsid w:val="711D4D6C"/>
    <w:rsid w:val="71660EEE"/>
    <w:rsid w:val="72902453"/>
    <w:rsid w:val="738315B2"/>
    <w:rsid w:val="752462DB"/>
    <w:rsid w:val="79C87210"/>
    <w:rsid w:val="7A292246"/>
    <w:rsid w:val="7A473F05"/>
    <w:rsid w:val="7B9253C6"/>
    <w:rsid w:val="7DBA51B7"/>
    <w:rsid w:val="7EB26560"/>
    <w:rsid w:val="7F7667F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szCs w:val="22"/>
    </w:rPr>
  </w:style>
  <w:style w:type="paragraph" w:styleId="3">
    <w:name w:val="Body Text Indent"/>
    <w:basedOn w:val="1"/>
    <w:qFormat/>
    <w:uiPriority w:val="0"/>
    <w:pPr>
      <w:spacing w:line="360" w:lineRule="auto"/>
      <w:ind w:left="720" w:hanging="720" w:hangingChars="300"/>
    </w:pPr>
    <w:rPr>
      <w:sz w:val="24"/>
      <w:szCs w:val="20"/>
    </w:rPr>
  </w:style>
  <w:style w:type="paragraph" w:styleId="4">
    <w:name w:val="Date"/>
    <w:basedOn w:val="1"/>
    <w:next w:val="1"/>
    <w:qFormat/>
    <w:uiPriority w:val="0"/>
    <w:rPr>
      <w:szCs w:val="20"/>
    </w:rPr>
  </w:style>
  <w:style w:type="paragraph" w:styleId="5">
    <w:name w:val="Body Text Indent 2"/>
    <w:basedOn w:val="1"/>
    <w:qFormat/>
    <w:uiPriority w:val="0"/>
    <w:pPr>
      <w:ind w:firstLine="480"/>
    </w:pPr>
    <w:rPr>
      <w:rFonts w:ascii="宋体" w:hAnsi="宋体"/>
      <w:sz w:val="30"/>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脚 Char"/>
    <w:basedOn w:val="10"/>
    <w:link w:val="6"/>
    <w:qFormat/>
    <w:uiPriority w:val="0"/>
    <w:rPr>
      <w:rFonts w:ascii="Times New Roman" w:hAnsi="Times New Roman" w:eastAsia="宋体" w:cs="Times New Roman"/>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P R C</Company>
  <Pages>6</Pages>
  <Words>2644</Words>
  <Characters>2991</Characters>
  <Lines>22</Lines>
  <Paragraphs>6</Paragraphs>
  <TotalTime>70</TotalTime>
  <ScaleCrop>false</ScaleCrop>
  <LinksUpToDate>false</LinksUpToDate>
  <CharactersWithSpaces>3030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2020-07-15T07:39:00Z</dcterms:created>
  <dc:creator>Administrator</dc:creator>
  <cp:lastModifiedBy>Administrator</cp:lastModifiedBy>
  <cp:lastPrinted>2020-10-09T06:58:00Z</cp:lastPrinted>
  <dcterms:modified xsi:type="dcterms:W3CDTF">2022-08-11T03:28:30Z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3AF74B6526F644168521177B499BEC4D</vt:lpwstr>
  </property>
</Properties>
</file>