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黑体" w:hAnsi="黑体" w:eastAsia="黑体" w:cs="黑体"/>
          <w:b/>
          <w:color w:val="000000"/>
          <w:sz w:val="36"/>
          <w:szCs w:val="36"/>
        </w:rPr>
      </w:pPr>
      <w:r>
        <w:rPr>
          <w:rFonts w:hint="eastAsia" w:ascii="黑体" w:hAnsi="黑体" w:eastAsia="黑体" w:cs="黑体"/>
          <w:b/>
          <w:color w:val="333333"/>
          <w:kern w:val="0"/>
          <w:sz w:val="36"/>
          <w:szCs w:val="36"/>
        </w:rPr>
        <w:t>《海安市人民医院监护仪采购》项</w:t>
      </w:r>
      <w:r>
        <w:rPr>
          <w:rFonts w:hint="eastAsia" w:ascii="黑体" w:hAnsi="黑体" w:eastAsia="黑体" w:cs="黑体"/>
          <w:b/>
          <w:color w:val="000000"/>
          <w:sz w:val="36"/>
          <w:szCs w:val="36"/>
        </w:rPr>
        <w:t>目</w:t>
      </w:r>
    </w:p>
    <w:p>
      <w:pPr>
        <w:widowControl/>
        <w:shd w:val="clear" w:color="auto" w:fill="FFFFFF"/>
        <w:spacing w:line="500" w:lineRule="exact"/>
        <w:jc w:val="center"/>
        <w:rPr>
          <w:rFonts w:ascii="黑体" w:hAnsi="黑体" w:eastAsia="黑体" w:cs="黑体"/>
          <w:b/>
          <w:color w:val="333333"/>
          <w:kern w:val="0"/>
          <w:sz w:val="36"/>
          <w:szCs w:val="36"/>
        </w:rPr>
      </w:pPr>
      <w:r>
        <w:rPr>
          <w:rFonts w:hint="eastAsia" w:ascii="黑体" w:hAnsi="黑体" w:eastAsia="黑体" w:cs="黑体"/>
          <w:b/>
          <w:color w:val="333333"/>
          <w:kern w:val="0"/>
          <w:sz w:val="36"/>
          <w:szCs w:val="36"/>
        </w:rPr>
        <w:t>询价采购文件</w:t>
      </w:r>
    </w:p>
    <w:p>
      <w:pPr>
        <w:widowControl/>
        <w:shd w:val="clear" w:color="auto" w:fill="FFFFFF"/>
        <w:spacing w:line="500" w:lineRule="exact"/>
        <w:ind w:firstLine="281" w:firstLineChars="100"/>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一、项目概况</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1.项目编号：HARY-YXZBK-122</w:t>
      </w:r>
    </w:p>
    <w:p>
      <w:pPr>
        <w:widowControl/>
        <w:shd w:val="clear" w:color="auto" w:fill="FFFFFF"/>
        <w:spacing w:line="50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2.项目地点：海安市人民医院</w:t>
      </w:r>
    </w:p>
    <w:p>
      <w:pPr>
        <w:widowControl/>
        <w:shd w:val="clear" w:color="auto" w:fill="FFFFFF"/>
        <w:spacing w:line="50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3.项目内容：监护仪17台采购</w:t>
      </w:r>
    </w:p>
    <w:p>
      <w:pPr>
        <w:widowControl/>
        <w:shd w:val="clear" w:color="auto" w:fill="FFFFFF"/>
        <w:spacing w:line="480" w:lineRule="exact"/>
        <w:ind w:firstLine="281" w:firstLineChars="100"/>
        <w:jc w:val="left"/>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二、供应商要求</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2.1法定条件</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2.1.1具有独立承担民事责任的能力（提供法人或者其他组织的营业执照）</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2.1.2具有良好的商业信誉和健全的财务会计制度（提供参加本次谈判前的会计报表，必须含资产负债表、利润表等的证明材料）；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2.1.3具有履行合同所必需的设备和专业技术能力（根据项目需求提供履行合同所必需的设备和专业技术能力的证明材料）；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2.1.4有依法缴纳税收和社会保障资金、基本养老保险等相关材料，应由税务、社保或银行部门出具（提供近三个月的证明资料）；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2.1.5参加政府采购活动前三年内，在经营活动中没有重大违法记录的书面声明（提供参加本次开标前三年内在经营活动中没有重大违法记录的书面声明）；</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2.1.6法律、行政法规规定的其他条件（项目实施所必须的许可资质证明材料）。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2.2 根据采购项目的特殊要求，供应商具备相关经营资质，并提供证明文件。</w:t>
      </w:r>
    </w:p>
    <w:p>
      <w:pPr>
        <w:widowControl/>
        <w:shd w:val="clear" w:color="auto" w:fill="FFFFFF"/>
        <w:spacing w:line="500" w:lineRule="exact"/>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三、项目具体需求</w:t>
      </w:r>
    </w:p>
    <w:p>
      <w:pPr>
        <w:spacing w:line="500" w:lineRule="exact"/>
        <w:ind w:firstLine="275" w:firstLineChars="98"/>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3.1</w:t>
      </w:r>
      <w:r>
        <w:rPr>
          <w:rFonts w:hint="eastAsia" w:ascii="仿宋" w:hAnsi="仿宋" w:eastAsia="仿宋" w:cs="宋体"/>
          <w:color w:val="333333"/>
          <w:kern w:val="0"/>
          <w:sz w:val="28"/>
          <w:szCs w:val="28"/>
        </w:rPr>
        <w:t>本项目采用询价采购，按照技术规格、质量、服务等方面相同的条件下，价格最低者确定为供应商。（项目报价单详见附件1）</w:t>
      </w:r>
    </w:p>
    <w:p>
      <w:pPr>
        <w:snapToGrid w:val="0"/>
        <w:spacing w:line="300" w:lineRule="auto"/>
        <w:ind w:firstLine="280" w:firstLineChars="100"/>
        <w:contextualSpacing/>
        <w:rPr>
          <w:rFonts w:ascii="仿宋" w:hAnsi="仿宋" w:eastAsia="仿宋" w:cs="宋体"/>
          <w:color w:val="333333"/>
          <w:kern w:val="0"/>
          <w:sz w:val="28"/>
          <w:szCs w:val="28"/>
        </w:rPr>
      </w:pPr>
    </w:p>
    <w:p>
      <w:pPr>
        <w:snapToGrid w:val="0"/>
        <w:spacing w:line="300" w:lineRule="auto"/>
        <w:ind w:firstLine="281" w:firstLineChars="100"/>
        <w:contextualSpacing/>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3.2采购标的的数量：</w:t>
      </w:r>
    </w:p>
    <w:p>
      <w:pPr>
        <w:spacing w:line="400" w:lineRule="exact"/>
        <w:ind w:left="140"/>
        <w:rPr>
          <w:rFonts w:ascii="仿宋_GB2312" w:hAnsi="仿宋_GB2312" w:eastAsia="仿宋_GB2312" w:cs="仿宋_GB2312"/>
          <w:sz w:val="32"/>
          <w:szCs w:val="32"/>
        </w:rPr>
      </w:pPr>
    </w:p>
    <w:tbl>
      <w:tblPr>
        <w:tblStyle w:val="9"/>
        <w:tblW w:w="7920" w:type="dxa"/>
        <w:tblCellSpacing w:w="0"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67"/>
        <w:gridCol w:w="1643"/>
        <w:gridCol w:w="1140"/>
        <w:gridCol w:w="2100"/>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 w:hRule="atLeast"/>
          <w:tblCellSpacing w:w="0" w:type="dxa"/>
        </w:trPr>
        <w:tc>
          <w:tcPr>
            <w:tcW w:w="967" w:type="dxa"/>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序号</w:t>
            </w:r>
          </w:p>
        </w:tc>
        <w:tc>
          <w:tcPr>
            <w:tcW w:w="1643" w:type="dxa"/>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产品名称</w:t>
            </w:r>
          </w:p>
        </w:tc>
        <w:tc>
          <w:tcPr>
            <w:tcW w:w="1140" w:type="dxa"/>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数量</w:t>
            </w:r>
          </w:p>
        </w:tc>
        <w:tc>
          <w:tcPr>
            <w:tcW w:w="2100" w:type="dxa"/>
          </w:tcPr>
          <w:p>
            <w:pPr>
              <w:spacing w:line="480" w:lineRule="exact"/>
              <w:jc w:val="center"/>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预算单价（元）</w:t>
            </w:r>
          </w:p>
        </w:tc>
        <w:tc>
          <w:tcPr>
            <w:tcW w:w="2070" w:type="dxa"/>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预算总价（元）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2" w:hRule="atLeast"/>
          <w:tblCellSpacing w:w="0" w:type="dxa"/>
        </w:trPr>
        <w:tc>
          <w:tcPr>
            <w:tcW w:w="967" w:type="dxa"/>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1</w:t>
            </w:r>
          </w:p>
        </w:tc>
        <w:tc>
          <w:tcPr>
            <w:tcW w:w="1643" w:type="dxa"/>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监护仪</w:t>
            </w:r>
          </w:p>
        </w:tc>
        <w:tc>
          <w:tcPr>
            <w:tcW w:w="1140" w:type="dxa"/>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17台</w:t>
            </w:r>
          </w:p>
        </w:tc>
        <w:tc>
          <w:tcPr>
            <w:tcW w:w="2100" w:type="dxa"/>
          </w:tcPr>
          <w:p>
            <w:pPr>
              <w:spacing w:line="480" w:lineRule="exact"/>
              <w:jc w:val="center"/>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17000</w:t>
            </w:r>
          </w:p>
        </w:tc>
        <w:tc>
          <w:tcPr>
            <w:tcW w:w="2070" w:type="dxa"/>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289000</w:t>
            </w:r>
          </w:p>
        </w:tc>
      </w:tr>
    </w:tbl>
    <w:p>
      <w:pPr>
        <w:spacing w:line="480" w:lineRule="exact"/>
        <w:rPr>
          <w:rFonts w:ascii="仿宋" w:hAnsi="仿宋" w:eastAsia="仿宋" w:cs="宋体"/>
          <w:color w:val="333333"/>
          <w:kern w:val="0"/>
          <w:sz w:val="28"/>
          <w:szCs w:val="28"/>
        </w:rPr>
      </w:pPr>
    </w:p>
    <w:p>
      <w:pPr>
        <w:spacing w:line="480" w:lineRule="exact"/>
        <w:ind w:firstLine="275" w:firstLineChars="98"/>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3.3采购标的的技术规格：</w:t>
      </w:r>
      <w:bookmarkStart w:id="0" w:name="_GoBack"/>
      <w:bookmarkEnd w:id="0"/>
    </w:p>
    <w:p>
      <w:pPr>
        <w:keepNext w:val="0"/>
        <w:keepLines w:val="0"/>
        <w:pageBreakBefore w:val="0"/>
        <w:widowControl w:val="0"/>
        <w:kinsoku/>
        <w:wordWrap/>
        <w:overflowPunct/>
        <w:topLinePunct w:val="0"/>
        <w:bidi w:val="0"/>
        <w:spacing w:line="500" w:lineRule="exact"/>
        <w:textAlignment w:val="auto"/>
        <w:rPr>
          <w:rFonts w:ascii="仿宋" w:hAnsi="仿宋" w:eastAsia="仿宋"/>
          <w:b/>
          <w:bCs/>
          <w:sz w:val="28"/>
          <w:szCs w:val="28"/>
        </w:rPr>
      </w:pPr>
      <w:r>
        <w:rPr>
          <w:rFonts w:hint="eastAsia" w:ascii="仿宋" w:hAnsi="仿宋" w:eastAsia="仿宋" w:cstheme="minorBidi"/>
          <w:b/>
          <w:bCs/>
          <w:kern w:val="0"/>
          <w:sz w:val="28"/>
          <w:szCs w:val="28"/>
        </w:rPr>
        <w:t>一、数量要求：监护仪17台，能连入医院现有中心监护系统。</w:t>
      </w:r>
    </w:p>
    <w:p>
      <w:pPr>
        <w:keepNext w:val="0"/>
        <w:keepLines w:val="0"/>
        <w:pageBreakBefore w:val="0"/>
        <w:widowControl w:val="0"/>
        <w:kinsoku/>
        <w:wordWrap/>
        <w:overflowPunct/>
        <w:topLinePunct w:val="0"/>
        <w:autoSpaceDE w:val="0"/>
        <w:autoSpaceDN w:val="0"/>
        <w:bidi w:val="0"/>
        <w:adjustRightInd w:val="0"/>
        <w:spacing w:line="500" w:lineRule="exact"/>
        <w:textAlignment w:val="auto"/>
        <w:rPr>
          <w:rFonts w:ascii="仿宋" w:hAnsi="仿宋" w:eastAsia="仿宋"/>
          <w:b/>
          <w:bCs/>
          <w:sz w:val="28"/>
          <w:szCs w:val="28"/>
        </w:rPr>
      </w:pPr>
      <w:r>
        <w:rPr>
          <w:rFonts w:hint="eastAsia" w:ascii="仿宋" w:hAnsi="仿宋" w:eastAsia="仿宋"/>
          <w:b/>
          <w:bCs/>
          <w:sz w:val="28"/>
          <w:szCs w:val="28"/>
        </w:rPr>
        <w:t>二、技术要求：</w:t>
      </w:r>
    </w:p>
    <w:p>
      <w:pPr>
        <w:keepNext w:val="0"/>
        <w:keepLines w:val="0"/>
        <w:pageBreakBefore w:val="0"/>
        <w:widowControl w:val="0"/>
        <w:kinsoku/>
        <w:wordWrap/>
        <w:overflowPunct/>
        <w:topLinePunct w:val="0"/>
        <w:autoSpaceDE w:val="0"/>
        <w:autoSpaceDN w:val="0"/>
        <w:bidi w:val="0"/>
        <w:adjustRightInd w:val="0"/>
        <w:spacing w:line="500" w:lineRule="exact"/>
        <w:textAlignment w:val="auto"/>
        <w:rPr>
          <w:rFonts w:ascii="仿宋" w:hAnsi="仿宋" w:eastAsia="仿宋" w:cstheme="minorEastAsia"/>
          <w:sz w:val="28"/>
          <w:szCs w:val="28"/>
        </w:rPr>
      </w:pPr>
      <w:r>
        <w:rPr>
          <w:rFonts w:hint="eastAsia" w:ascii="仿宋" w:hAnsi="仿宋" w:eastAsia="仿宋" w:cstheme="minorEastAsia"/>
          <w:sz w:val="28"/>
          <w:szCs w:val="28"/>
        </w:rPr>
        <w:t>1、一体化便携监护仪，整机无风扇设计。国家三类注册，投标产品可用于监护成人、小儿、新生儿患者。</w:t>
      </w:r>
    </w:p>
    <w:p>
      <w:pPr>
        <w:keepNext w:val="0"/>
        <w:keepLines w:val="0"/>
        <w:pageBreakBefore w:val="0"/>
        <w:widowControl w:val="0"/>
        <w:kinsoku/>
        <w:wordWrap/>
        <w:overflowPunct/>
        <w:topLinePunct w:val="0"/>
        <w:autoSpaceDE w:val="0"/>
        <w:autoSpaceDN w:val="0"/>
        <w:bidi w:val="0"/>
        <w:adjustRightInd w:val="0"/>
        <w:spacing w:line="500" w:lineRule="exact"/>
        <w:textAlignment w:val="auto"/>
        <w:rPr>
          <w:rFonts w:ascii="仿宋" w:hAnsi="仿宋" w:eastAsia="仿宋" w:cstheme="minorEastAsia"/>
          <w:sz w:val="28"/>
          <w:szCs w:val="28"/>
        </w:rPr>
      </w:pPr>
      <w:r>
        <w:rPr>
          <w:rFonts w:hint="eastAsia" w:ascii="仿宋" w:hAnsi="仿宋" w:eastAsia="仿宋" w:cstheme="minorEastAsia"/>
          <w:sz w:val="28"/>
          <w:szCs w:val="28"/>
        </w:rPr>
        <w:t xml:space="preserve">2、配置提手,方便移动。 </w:t>
      </w:r>
    </w:p>
    <w:p>
      <w:pPr>
        <w:keepNext w:val="0"/>
        <w:keepLines w:val="0"/>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theme="minorEastAsia"/>
          <w:sz w:val="28"/>
          <w:szCs w:val="28"/>
        </w:rPr>
      </w:pPr>
      <w:r>
        <w:rPr>
          <w:rFonts w:hint="eastAsia" w:ascii="仿宋" w:hAnsi="仿宋" w:eastAsia="仿宋" w:cstheme="minorEastAsia"/>
          <w:sz w:val="28"/>
          <w:szCs w:val="28"/>
        </w:rPr>
        <w:t>★3、≥10.1英寸彩色液晶触摸屏，分辨率高达1280*800像素或更高，≥8通道波形显示，屏幕采用最新电容屏非电阻屏。</w:t>
      </w:r>
    </w:p>
    <w:p>
      <w:pPr>
        <w:keepNext w:val="0"/>
        <w:keepLines w:val="0"/>
        <w:pageBreakBefore w:val="0"/>
        <w:widowControl w:val="0"/>
        <w:kinsoku/>
        <w:wordWrap/>
        <w:overflowPunct/>
        <w:topLinePunct w:val="0"/>
        <w:autoSpaceDE w:val="0"/>
        <w:autoSpaceDN w:val="0"/>
        <w:bidi w:val="0"/>
        <w:adjustRightInd w:val="0"/>
        <w:spacing w:line="500" w:lineRule="exact"/>
        <w:textAlignment w:val="auto"/>
        <w:rPr>
          <w:rFonts w:ascii="仿宋" w:hAnsi="仿宋" w:eastAsia="仿宋" w:cstheme="minorEastAsia"/>
          <w:sz w:val="28"/>
          <w:szCs w:val="28"/>
        </w:rPr>
      </w:pPr>
      <w:r>
        <w:rPr>
          <w:rFonts w:hint="eastAsia" w:ascii="仿宋" w:hAnsi="仿宋" w:eastAsia="仿宋" w:cstheme="minorEastAsia"/>
          <w:sz w:val="28"/>
          <w:szCs w:val="28"/>
        </w:rPr>
        <w:t>4、显示屏可支持亮度自动调节功能。</w:t>
      </w:r>
    </w:p>
    <w:p>
      <w:pPr>
        <w:keepNext w:val="0"/>
        <w:keepLines w:val="0"/>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theme="minorEastAsia"/>
          <w:sz w:val="28"/>
          <w:szCs w:val="28"/>
        </w:rPr>
      </w:pPr>
      <w:r>
        <w:rPr>
          <w:rFonts w:hint="eastAsia" w:ascii="仿宋" w:hAnsi="仿宋" w:eastAsia="仿宋" w:cstheme="minorEastAsia"/>
          <w:sz w:val="28"/>
          <w:szCs w:val="28"/>
        </w:rPr>
        <w:t>5、屏幕倾斜10~15度设计，符合人机工程学，便于临床团队观察和操作。</w:t>
      </w:r>
    </w:p>
    <w:p>
      <w:pPr>
        <w:keepNext w:val="0"/>
        <w:keepLines w:val="0"/>
        <w:pageBreakBefore w:val="0"/>
        <w:widowControl w:val="0"/>
        <w:kinsoku/>
        <w:wordWrap/>
        <w:overflowPunct/>
        <w:topLinePunct w:val="0"/>
        <w:autoSpaceDE w:val="0"/>
        <w:autoSpaceDN w:val="0"/>
        <w:bidi w:val="0"/>
        <w:adjustRightInd w:val="0"/>
        <w:spacing w:line="500" w:lineRule="exact"/>
        <w:textAlignment w:val="auto"/>
        <w:rPr>
          <w:rFonts w:ascii="仿宋" w:hAnsi="仿宋" w:eastAsia="仿宋" w:cstheme="minorEastAsia"/>
          <w:sz w:val="28"/>
          <w:szCs w:val="28"/>
        </w:rPr>
      </w:pPr>
      <w:r>
        <w:rPr>
          <w:rFonts w:hint="eastAsia" w:ascii="仿宋" w:hAnsi="仿宋" w:eastAsia="仿宋" w:cstheme="minorEastAsia"/>
          <w:sz w:val="28"/>
          <w:szCs w:val="28"/>
        </w:rPr>
        <w:t>6、可支持遥控器无线远程操作监护仪。</w:t>
      </w:r>
    </w:p>
    <w:p>
      <w:pPr>
        <w:keepNext w:val="0"/>
        <w:keepLines w:val="0"/>
        <w:pageBreakBefore w:val="0"/>
        <w:widowControl w:val="0"/>
        <w:kinsoku/>
        <w:wordWrap/>
        <w:overflowPunct/>
        <w:topLinePunct w:val="0"/>
        <w:autoSpaceDE w:val="0"/>
        <w:autoSpaceDN w:val="0"/>
        <w:bidi w:val="0"/>
        <w:adjustRightInd w:val="0"/>
        <w:spacing w:line="500" w:lineRule="exact"/>
        <w:textAlignment w:val="auto"/>
        <w:rPr>
          <w:rFonts w:ascii="仿宋" w:hAnsi="仿宋" w:eastAsia="仿宋" w:cstheme="minorEastAsia"/>
          <w:sz w:val="28"/>
          <w:szCs w:val="28"/>
        </w:rPr>
      </w:pPr>
      <w:r>
        <w:rPr>
          <w:rFonts w:hint="eastAsia" w:ascii="仿宋" w:hAnsi="仿宋" w:eastAsia="仿宋" w:cstheme="minorEastAsia"/>
          <w:sz w:val="28"/>
          <w:szCs w:val="28"/>
        </w:rPr>
        <w:t>7、内置锂电池，插槽式设计，无需螺丝刀工具支持快速拆卸和安装。</w:t>
      </w:r>
    </w:p>
    <w:p>
      <w:pPr>
        <w:keepNext w:val="0"/>
        <w:keepLines w:val="0"/>
        <w:pageBreakBefore w:val="0"/>
        <w:widowControl w:val="0"/>
        <w:kinsoku/>
        <w:wordWrap/>
        <w:overflowPunct/>
        <w:topLinePunct w:val="0"/>
        <w:autoSpaceDE w:val="0"/>
        <w:autoSpaceDN w:val="0"/>
        <w:bidi w:val="0"/>
        <w:adjustRightInd w:val="0"/>
        <w:spacing w:line="500" w:lineRule="exact"/>
        <w:textAlignment w:val="auto"/>
        <w:rPr>
          <w:rFonts w:ascii="仿宋" w:hAnsi="仿宋" w:eastAsia="仿宋" w:cstheme="minorEastAsia"/>
          <w:sz w:val="28"/>
          <w:szCs w:val="28"/>
        </w:rPr>
      </w:pPr>
      <w:r>
        <w:rPr>
          <w:rFonts w:hint="eastAsia" w:ascii="仿宋" w:hAnsi="仿宋" w:eastAsia="仿宋" w:cstheme="minorEastAsia"/>
          <w:sz w:val="28"/>
          <w:szCs w:val="28"/>
        </w:rPr>
        <w:t>★8、安全规格：ECG, TEMP, IBP, SpO2 , NIBP监测参数抗电击程度为防除颤CF型</w:t>
      </w:r>
      <w:r>
        <w:rPr>
          <w:rFonts w:hint="eastAsia" w:ascii="仿宋" w:hAnsi="仿宋" w:eastAsia="仿宋" w:cstheme="minorEastAsia"/>
          <w:sz w:val="28"/>
          <w:szCs w:val="28"/>
        </w:rPr>
        <w:drawing>
          <wp:inline distT="0" distB="0" distL="0" distR="0">
            <wp:extent cx="257175" cy="152400"/>
            <wp:effectExtent l="1905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5" cstate="print"/>
                    <a:srcRect/>
                    <a:stretch>
                      <a:fillRect/>
                    </a:stretch>
                  </pic:blipFill>
                  <pic:spPr>
                    <a:xfrm>
                      <a:off x="0" y="0"/>
                      <a:ext cx="257960" cy="152865"/>
                    </a:xfrm>
                    <a:prstGeom prst="rect">
                      <a:avLst/>
                    </a:prstGeom>
                    <a:noFill/>
                    <a:ln w="9525">
                      <a:noFill/>
                      <a:miter lim="800000"/>
                      <a:headEnd/>
                      <a:tailEnd/>
                    </a:ln>
                  </pic:spPr>
                </pic:pic>
              </a:graphicData>
            </a:graphic>
          </wp:inline>
        </w:drawing>
      </w:r>
      <w:r>
        <w:rPr>
          <w:rFonts w:hint="eastAsia" w:ascii="仿宋" w:hAnsi="仿宋" w:eastAsia="仿宋" w:cstheme="minorEastAsia"/>
          <w:sz w:val="28"/>
          <w:szCs w:val="28"/>
        </w:rPr>
        <w:t>。</w:t>
      </w:r>
    </w:p>
    <w:p>
      <w:pPr>
        <w:keepNext w:val="0"/>
        <w:keepLines w:val="0"/>
        <w:pageBreakBefore w:val="0"/>
        <w:widowControl w:val="0"/>
        <w:kinsoku/>
        <w:wordWrap/>
        <w:overflowPunct/>
        <w:topLinePunct w:val="0"/>
        <w:autoSpaceDE w:val="0"/>
        <w:autoSpaceDN w:val="0"/>
        <w:bidi w:val="0"/>
        <w:adjustRightInd w:val="0"/>
        <w:spacing w:line="500" w:lineRule="exact"/>
        <w:textAlignment w:val="auto"/>
        <w:rPr>
          <w:rFonts w:ascii="仿宋" w:hAnsi="仿宋" w:eastAsia="仿宋" w:cstheme="minorEastAsia"/>
          <w:sz w:val="28"/>
          <w:szCs w:val="28"/>
        </w:rPr>
      </w:pPr>
      <w:r>
        <w:rPr>
          <w:rFonts w:hint="eastAsia" w:ascii="仿宋" w:hAnsi="仿宋" w:eastAsia="仿宋" w:cstheme="minorEastAsia"/>
          <w:sz w:val="28"/>
          <w:szCs w:val="28"/>
        </w:rPr>
        <w:t>9、监护仪设计使用年限10年。</w:t>
      </w:r>
    </w:p>
    <w:p>
      <w:pPr>
        <w:keepNext w:val="0"/>
        <w:keepLines w:val="0"/>
        <w:pageBreakBefore w:val="0"/>
        <w:widowControl w:val="0"/>
        <w:kinsoku/>
        <w:wordWrap/>
        <w:overflowPunct/>
        <w:topLinePunct w:val="0"/>
        <w:autoSpaceDE w:val="0"/>
        <w:autoSpaceDN w:val="0"/>
        <w:bidi w:val="0"/>
        <w:adjustRightInd w:val="0"/>
        <w:spacing w:line="500" w:lineRule="exact"/>
        <w:textAlignment w:val="auto"/>
        <w:rPr>
          <w:rFonts w:ascii="仿宋" w:hAnsi="仿宋" w:eastAsia="仿宋" w:cstheme="minorEastAsia"/>
          <w:sz w:val="28"/>
          <w:szCs w:val="28"/>
        </w:rPr>
      </w:pPr>
      <w:r>
        <w:rPr>
          <w:rFonts w:hint="eastAsia" w:ascii="仿宋" w:hAnsi="仿宋" w:eastAsia="仿宋" w:cstheme="minorEastAsia"/>
          <w:sz w:val="28"/>
          <w:szCs w:val="28"/>
        </w:rPr>
        <w:t>10、监护仪清洁维护支持的清洁剂≥40种，在厂家手册中清晰列举清洁剂的种类。</w:t>
      </w:r>
    </w:p>
    <w:p>
      <w:pPr>
        <w:keepNext w:val="0"/>
        <w:keepLines w:val="0"/>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theme="minorEastAsia"/>
          <w:sz w:val="28"/>
          <w:szCs w:val="28"/>
        </w:rPr>
      </w:pPr>
      <w:r>
        <w:rPr>
          <w:rFonts w:hint="eastAsia" w:ascii="仿宋" w:hAnsi="仿宋" w:eastAsia="仿宋" w:cstheme="minorEastAsia"/>
          <w:sz w:val="28"/>
          <w:szCs w:val="28"/>
        </w:rPr>
        <w:t>11、防水等级≥IPX2 ，整机抗跌落设计通过0.75米6面跌落测试。</w:t>
      </w:r>
    </w:p>
    <w:p>
      <w:pPr>
        <w:keepNext w:val="0"/>
        <w:keepLines w:val="0"/>
        <w:pageBreakBefore w:val="0"/>
        <w:widowControl w:val="0"/>
        <w:kinsoku/>
        <w:wordWrap/>
        <w:overflowPunct/>
        <w:topLinePunct w:val="0"/>
        <w:autoSpaceDE w:val="0"/>
        <w:autoSpaceDN w:val="0"/>
        <w:bidi w:val="0"/>
        <w:adjustRightInd w:val="0"/>
        <w:spacing w:line="500" w:lineRule="exact"/>
        <w:textAlignment w:val="auto"/>
        <w:rPr>
          <w:rFonts w:ascii="仿宋" w:hAnsi="仿宋" w:eastAsia="仿宋" w:cstheme="minorEastAsia"/>
          <w:sz w:val="28"/>
          <w:szCs w:val="28"/>
        </w:rPr>
      </w:pPr>
      <w:r>
        <w:rPr>
          <w:rFonts w:hint="eastAsia" w:ascii="仿宋" w:hAnsi="仿宋" w:eastAsia="仿宋" w:cstheme="minorEastAsia"/>
          <w:sz w:val="28"/>
          <w:szCs w:val="28"/>
        </w:rPr>
        <w:t>12、配置3/5导心电，呼吸，无创血压，血氧饱和度，脉搏和双通道体温参数监测</w:t>
      </w:r>
    </w:p>
    <w:p>
      <w:pPr>
        <w:keepNext w:val="0"/>
        <w:keepLines w:val="0"/>
        <w:pageBreakBefore w:val="0"/>
        <w:widowControl w:val="0"/>
        <w:kinsoku/>
        <w:wordWrap/>
        <w:overflowPunct/>
        <w:topLinePunct w:val="0"/>
        <w:autoSpaceDE w:val="0"/>
        <w:autoSpaceDN w:val="0"/>
        <w:bidi w:val="0"/>
        <w:adjustRightInd w:val="0"/>
        <w:spacing w:line="500" w:lineRule="exact"/>
        <w:textAlignment w:val="auto"/>
        <w:rPr>
          <w:rFonts w:ascii="仿宋" w:hAnsi="仿宋" w:eastAsia="仿宋" w:cstheme="minorEastAsia"/>
          <w:sz w:val="28"/>
          <w:szCs w:val="28"/>
        </w:rPr>
      </w:pPr>
      <w:r>
        <w:rPr>
          <w:rFonts w:hint="eastAsia" w:ascii="仿宋" w:hAnsi="仿宋" w:eastAsia="仿宋" w:cstheme="minorEastAsia"/>
          <w:sz w:val="28"/>
          <w:szCs w:val="28"/>
        </w:rPr>
        <w:t>★13、心电监护支持心率，ST段测量，心律失常分析，QT/QTc连续实时测量和对应报警功能。QT和QTc实时监测参数测量范围：200～800 ms。</w:t>
      </w:r>
    </w:p>
    <w:p>
      <w:pPr>
        <w:keepNext w:val="0"/>
        <w:keepLines w:val="0"/>
        <w:pageBreakBefore w:val="0"/>
        <w:widowControl w:val="0"/>
        <w:kinsoku/>
        <w:wordWrap/>
        <w:overflowPunct/>
        <w:topLinePunct w:val="0"/>
        <w:autoSpaceDE w:val="0"/>
        <w:autoSpaceDN w:val="0"/>
        <w:bidi w:val="0"/>
        <w:adjustRightInd w:val="0"/>
        <w:spacing w:line="500" w:lineRule="exact"/>
        <w:textAlignment w:val="auto"/>
        <w:rPr>
          <w:rFonts w:ascii="仿宋" w:hAnsi="仿宋" w:eastAsia="仿宋" w:cstheme="minorEastAsia"/>
          <w:sz w:val="28"/>
          <w:szCs w:val="28"/>
        </w:rPr>
      </w:pPr>
      <w:r>
        <w:rPr>
          <w:rFonts w:hint="eastAsia" w:ascii="仿宋" w:hAnsi="仿宋" w:eastAsia="仿宋" w:cstheme="minorEastAsia"/>
          <w:sz w:val="28"/>
          <w:szCs w:val="28"/>
        </w:rPr>
        <w:t>14、心电算法通过AHA/MIT-BIH数据库验证。</w:t>
      </w:r>
    </w:p>
    <w:p>
      <w:pPr>
        <w:keepNext w:val="0"/>
        <w:keepLines w:val="0"/>
        <w:pageBreakBefore w:val="0"/>
        <w:widowControl w:val="0"/>
        <w:kinsoku/>
        <w:wordWrap/>
        <w:overflowPunct/>
        <w:topLinePunct w:val="0"/>
        <w:autoSpaceDE w:val="0"/>
        <w:autoSpaceDN w:val="0"/>
        <w:bidi w:val="0"/>
        <w:adjustRightInd w:val="0"/>
        <w:spacing w:line="500" w:lineRule="exact"/>
        <w:textAlignment w:val="auto"/>
        <w:rPr>
          <w:rFonts w:ascii="仿宋" w:hAnsi="仿宋" w:eastAsia="仿宋" w:cstheme="minorEastAsia"/>
          <w:sz w:val="28"/>
          <w:szCs w:val="28"/>
        </w:rPr>
      </w:pPr>
      <w:r>
        <w:rPr>
          <w:rFonts w:hint="eastAsia" w:ascii="仿宋" w:hAnsi="仿宋" w:eastAsia="仿宋" w:cstheme="minorEastAsia"/>
          <w:sz w:val="28"/>
          <w:szCs w:val="28"/>
        </w:rPr>
        <w:t>15、心电波形扫描速度支持6.25mm/s、12.5 mm/s、25 mm/s和50 mm/s。</w:t>
      </w:r>
    </w:p>
    <w:p>
      <w:pPr>
        <w:keepNext w:val="0"/>
        <w:keepLines w:val="0"/>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theme="minorEastAsia"/>
          <w:sz w:val="28"/>
          <w:szCs w:val="28"/>
        </w:rPr>
      </w:pPr>
      <w:r>
        <w:rPr>
          <w:rFonts w:hint="eastAsia" w:ascii="仿宋" w:hAnsi="仿宋" w:eastAsia="仿宋" w:cstheme="minorEastAsia"/>
          <w:sz w:val="28"/>
          <w:szCs w:val="28"/>
        </w:rPr>
        <w:t>16、提供窗口支持心脏下壁，侧壁和前壁对应多个ST片段的同屏实时显示，提供参考片段和实时片段的对比查看。</w:t>
      </w:r>
    </w:p>
    <w:p>
      <w:pPr>
        <w:keepNext w:val="0"/>
        <w:keepLines w:val="0"/>
        <w:pageBreakBefore w:val="0"/>
        <w:widowControl w:val="0"/>
        <w:kinsoku/>
        <w:wordWrap/>
        <w:overflowPunct/>
        <w:topLinePunct w:val="0"/>
        <w:autoSpaceDE w:val="0"/>
        <w:autoSpaceDN w:val="0"/>
        <w:bidi w:val="0"/>
        <w:adjustRightInd w:val="0"/>
        <w:spacing w:line="500" w:lineRule="exact"/>
        <w:textAlignment w:val="auto"/>
        <w:rPr>
          <w:rFonts w:ascii="仿宋" w:hAnsi="仿宋" w:eastAsia="仿宋" w:cstheme="minorEastAsia"/>
          <w:sz w:val="28"/>
          <w:szCs w:val="28"/>
        </w:rPr>
      </w:pPr>
      <w:r>
        <w:rPr>
          <w:rFonts w:hint="eastAsia" w:ascii="仿宋" w:hAnsi="仿宋" w:eastAsia="仿宋" w:cstheme="minorEastAsia"/>
          <w:sz w:val="28"/>
          <w:szCs w:val="28"/>
        </w:rPr>
        <w:t>17、支持≥24种心律失常分析,包括房颤分析。</w:t>
      </w:r>
    </w:p>
    <w:p>
      <w:pPr>
        <w:keepNext w:val="0"/>
        <w:keepLines w:val="0"/>
        <w:pageBreakBefore w:val="0"/>
        <w:widowControl w:val="0"/>
        <w:kinsoku/>
        <w:wordWrap/>
        <w:overflowPunct/>
        <w:topLinePunct w:val="0"/>
        <w:autoSpaceDE w:val="0"/>
        <w:autoSpaceDN w:val="0"/>
        <w:bidi w:val="0"/>
        <w:adjustRightInd w:val="0"/>
        <w:spacing w:line="500" w:lineRule="exact"/>
        <w:textAlignment w:val="auto"/>
        <w:rPr>
          <w:rFonts w:ascii="仿宋" w:hAnsi="仿宋" w:eastAsia="仿宋" w:cstheme="minorEastAsia"/>
          <w:sz w:val="28"/>
          <w:szCs w:val="28"/>
        </w:rPr>
      </w:pPr>
      <w:r>
        <w:rPr>
          <w:rFonts w:hint="eastAsia" w:ascii="仿宋" w:hAnsi="仿宋" w:eastAsia="仿宋" w:cstheme="minorEastAsia"/>
          <w:sz w:val="28"/>
          <w:szCs w:val="28"/>
        </w:rPr>
        <w:t>18、支持升级提供过去24小时心电概览报告查看与打印，包括心率统计结果，心律失常统计结果，ST统计和QT/QTc统计结果。</w:t>
      </w:r>
    </w:p>
    <w:p>
      <w:pPr>
        <w:keepNext w:val="0"/>
        <w:keepLines w:val="0"/>
        <w:pageBreakBefore w:val="0"/>
        <w:widowControl w:val="0"/>
        <w:kinsoku/>
        <w:wordWrap/>
        <w:overflowPunct/>
        <w:topLinePunct w:val="0"/>
        <w:autoSpaceDE w:val="0"/>
        <w:autoSpaceDN w:val="0"/>
        <w:bidi w:val="0"/>
        <w:adjustRightInd w:val="0"/>
        <w:spacing w:line="500" w:lineRule="exact"/>
        <w:textAlignment w:val="auto"/>
        <w:rPr>
          <w:rFonts w:ascii="仿宋" w:hAnsi="仿宋" w:eastAsia="仿宋" w:cstheme="minorEastAsia"/>
          <w:sz w:val="28"/>
          <w:szCs w:val="28"/>
        </w:rPr>
      </w:pPr>
      <w:r>
        <w:rPr>
          <w:rFonts w:hint="eastAsia" w:ascii="仿宋" w:hAnsi="仿宋" w:eastAsia="仿宋" w:cstheme="minorEastAsia"/>
          <w:sz w:val="28"/>
          <w:szCs w:val="28"/>
        </w:rPr>
        <w:t>19、提供SpO2,PR和PI参数的实时监测，适用于成人，小儿和新生儿。</w:t>
      </w:r>
    </w:p>
    <w:p>
      <w:pPr>
        <w:keepNext w:val="0"/>
        <w:keepLines w:val="0"/>
        <w:pageBreakBefore w:val="0"/>
        <w:widowControl w:val="0"/>
        <w:kinsoku/>
        <w:wordWrap/>
        <w:overflowPunct/>
        <w:topLinePunct w:val="0"/>
        <w:autoSpaceDE w:val="0"/>
        <w:autoSpaceDN w:val="0"/>
        <w:bidi w:val="0"/>
        <w:adjustRightInd w:val="0"/>
        <w:spacing w:line="500" w:lineRule="exact"/>
        <w:textAlignment w:val="auto"/>
        <w:rPr>
          <w:rFonts w:ascii="仿宋" w:hAnsi="仿宋" w:eastAsia="仿宋" w:cstheme="minorEastAsia"/>
          <w:sz w:val="28"/>
          <w:szCs w:val="28"/>
        </w:rPr>
      </w:pPr>
      <w:r>
        <w:rPr>
          <w:rFonts w:hint="eastAsia" w:ascii="仿宋" w:hAnsi="仿宋" w:eastAsia="仿宋" w:cstheme="minorEastAsia"/>
          <w:sz w:val="28"/>
          <w:szCs w:val="28"/>
        </w:rPr>
        <w:t>20、支持指套式血氧探头，IPX7防水等级，支持液体浸泡消毒和清洁。</w:t>
      </w:r>
    </w:p>
    <w:p>
      <w:pPr>
        <w:keepNext w:val="0"/>
        <w:keepLines w:val="0"/>
        <w:pageBreakBefore w:val="0"/>
        <w:widowControl w:val="0"/>
        <w:kinsoku/>
        <w:wordWrap/>
        <w:overflowPunct/>
        <w:topLinePunct w:val="0"/>
        <w:autoSpaceDE w:val="0"/>
        <w:autoSpaceDN w:val="0"/>
        <w:bidi w:val="0"/>
        <w:adjustRightInd w:val="0"/>
        <w:spacing w:line="500" w:lineRule="exact"/>
        <w:textAlignment w:val="auto"/>
        <w:rPr>
          <w:rFonts w:ascii="仿宋" w:hAnsi="仿宋" w:eastAsia="仿宋" w:cstheme="minorEastAsia"/>
          <w:sz w:val="28"/>
          <w:szCs w:val="28"/>
        </w:rPr>
      </w:pPr>
      <w:r>
        <w:rPr>
          <w:rFonts w:hint="eastAsia" w:ascii="仿宋" w:hAnsi="仿宋" w:eastAsia="仿宋" w:cstheme="minorEastAsia"/>
          <w:sz w:val="28"/>
          <w:szCs w:val="28"/>
        </w:rPr>
        <w:t>21、配置无创血压测量，适用于成人，小儿和新生儿。</w:t>
      </w:r>
    </w:p>
    <w:p>
      <w:pPr>
        <w:keepNext w:val="0"/>
        <w:keepLines w:val="0"/>
        <w:pageBreakBefore w:val="0"/>
        <w:widowControl w:val="0"/>
        <w:kinsoku/>
        <w:wordWrap/>
        <w:overflowPunct/>
        <w:topLinePunct w:val="0"/>
        <w:autoSpaceDE w:val="0"/>
        <w:autoSpaceDN w:val="0"/>
        <w:bidi w:val="0"/>
        <w:adjustRightInd w:val="0"/>
        <w:spacing w:line="500" w:lineRule="exact"/>
        <w:textAlignment w:val="auto"/>
        <w:rPr>
          <w:rFonts w:ascii="仿宋" w:hAnsi="仿宋" w:eastAsia="仿宋" w:cstheme="minorEastAsia"/>
          <w:sz w:val="28"/>
          <w:szCs w:val="28"/>
        </w:rPr>
      </w:pPr>
      <w:r>
        <w:rPr>
          <w:rFonts w:hint="eastAsia" w:ascii="仿宋" w:hAnsi="仿宋" w:eastAsia="仿宋" w:cstheme="minorEastAsia"/>
          <w:sz w:val="28"/>
          <w:szCs w:val="28"/>
        </w:rPr>
        <w:t>★22、提供手动，自动，连续和序列4种测量模式，并提供24小时血压统计结果，满足临床应用。</w:t>
      </w:r>
    </w:p>
    <w:p>
      <w:pPr>
        <w:keepNext w:val="0"/>
        <w:keepLines w:val="0"/>
        <w:pageBreakBefore w:val="0"/>
        <w:widowControl w:val="0"/>
        <w:kinsoku/>
        <w:wordWrap/>
        <w:overflowPunct/>
        <w:topLinePunct w:val="0"/>
        <w:autoSpaceDE w:val="0"/>
        <w:autoSpaceDN w:val="0"/>
        <w:bidi w:val="0"/>
        <w:adjustRightInd w:val="0"/>
        <w:spacing w:line="500" w:lineRule="exact"/>
        <w:textAlignment w:val="auto"/>
        <w:rPr>
          <w:rFonts w:ascii="仿宋" w:hAnsi="仿宋" w:eastAsia="仿宋" w:cstheme="minorEastAsia"/>
          <w:sz w:val="28"/>
          <w:szCs w:val="28"/>
        </w:rPr>
      </w:pPr>
      <w:r>
        <w:rPr>
          <w:rFonts w:hint="eastAsia" w:ascii="仿宋" w:hAnsi="仿宋" w:eastAsia="仿宋" w:cstheme="minorEastAsia"/>
          <w:sz w:val="28"/>
          <w:szCs w:val="28"/>
        </w:rPr>
        <w:t>23、无创血压成人测量范围：收缩压25~290mmHg，舒张压10~250mmHg，平均压15~260mmHg。</w:t>
      </w:r>
    </w:p>
    <w:p>
      <w:pPr>
        <w:keepNext w:val="0"/>
        <w:keepLines w:val="0"/>
        <w:pageBreakBefore w:val="0"/>
        <w:widowControl w:val="0"/>
        <w:kinsoku/>
        <w:wordWrap/>
        <w:overflowPunct/>
        <w:topLinePunct w:val="0"/>
        <w:autoSpaceDE w:val="0"/>
        <w:autoSpaceDN w:val="0"/>
        <w:bidi w:val="0"/>
        <w:adjustRightInd w:val="0"/>
        <w:spacing w:line="500" w:lineRule="exact"/>
        <w:textAlignment w:val="auto"/>
        <w:rPr>
          <w:rFonts w:ascii="仿宋" w:hAnsi="仿宋" w:eastAsia="仿宋" w:cstheme="minorEastAsia"/>
          <w:sz w:val="28"/>
          <w:szCs w:val="28"/>
        </w:rPr>
      </w:pPr>
      <w:r>
        <w:rPr>
          <w:rFonts w:hint="eastAsia" w:ascii="仿宋" w:hAnsi="仿宋" w:eastAsia="仿宋" w:cstheme="minorEastAsia"/>
          <w:sz w:val="28"/>
          <w:szCs w:val="28"/>
        </w:rPr>
        <w:t>24、提供辅助静脉穿刺功能。支持肾功能计算功能。</w:t>
      </w:r>
    </w:p>
    <w:p>
      <w:pPr>
        <w:keepNext w:val="0"/>
        <w:keepLines w:val="0"/>
        <w:pageBreakBefore w:val="0"/>
        <w:widowControl w:val="0"/>
        <w:kinsoku/>
        <w:wordWrap/>
        <w:overflowPunct/>
        <w:topLinePunct w:val="0"/>
        <w:autoSpaceDE w:val="0"/>
        <w:autoSpaceDN w:val="0"/>
        <w:bidi w:val="0"/>
        <w:adjustRightInd w:val="0"/>
        <w:spacing w:line="500" w:lineRule="exact"/>
        <w:textAlignment w:val="auto"/>
        <w:rPr>
          <w:rFonts w:ascii="仿宋" w:hAnsi="仿宋" w:eastAsia="仿宋" w:cstheme="minorEastAsia"/>
          <w:sz w:val="28"/>
          <w:szCs w:val="28"/>
        </w:rPr>
      </w:pPr>
      <w:r>
        <w:rPr>
          <w:rFonts w:hint="eastAsia" w:ascii="仿宋" w:hAnsi="仿宋" w:eastAsia="仿宋" w:cstheme="minorEastAsia"/>
          <w:sz w:val="28"/>
          <w:szCs w:val="28"/>
        </w:rPr>
        <w:t>25、提供双通道体温和温差参数的监测, 并可根据需要更改体温通道标名。</w:t>
      </w:r>
    </w:p>
    <w:p>
      <w:pPr>
        <w:keepNext w:val="0"/>
        <w:keepLines w:val="0"/>
        <w:pageBreakBefore w:val="0"/>
        <w:widowControl w:val="0"/>
        <w:kinsoku/>
        <w:wordWrap/>
        <w:overflowPunct/>
        <w:topLinePunct w:val="0"/>
        <w:bidi w:val="0"/>
        <w:spacing w:line="500" w:lineRule="exact"/>
        <w:ind w:right="42" w:rightChars="20"/>
        <w:textAlignment w:val="auto"/>
        <w:rPr>
          <w:rFonts w:ascii="仿宋" w:hAnsi="仿宋" w:eastAsia="仿宋" w:cstheme="minorEastAsia"/>
          <w:sz w:val="28"/>
          <w:szCs w:val="28"/>
        </w:rPr>
      </w:pPr>
      <w:r>
        <w:rPr>
          <w:rFonts w:hint="eastAsia" w:ascii="仿宋" w:hAnsi="仿宋" w:eastAsia="仿宋" w:cstheme="minorEastAsia"/>
          <w:sz w:val="28"/>
          <w:szCs w:val="28"/>
        </w:rPr>
        <w:t>★26、支持所有监测参数报警限一键自动设置功能，满足医护团队快速管理患者报警需求，产品用户手册提供报警限自动设置规则。</w:t>
      </w:r>
    </w:p>
    <w:p>
      <w:pPr>
        <w:keepNext w:val="0"/>
        <w:keepLines w:val="0"/>
        <w:pageBreakBefore w:val="0"/>
        <w:widowControl w:val="0"/>
        <w:kinsoku/>
        <w:wordWrap/>
        <w:overflowPunct/>
        <w:topLinePunct w:val="0"/>
        <w:bidi w:val="0"/>
        <w:spacing w:line="500" w:lineRule="exact"/>
        <w:ind w:right="42" w:rightChars="20"/>
        <w:textAlignment w:val="auto"/>
        <w:rPr>
          <w:rFonts w:ascii="仿宋" w:hAnsi="仿宋" w:eastAsia="仿宋" w:cstheme="minorEastAsia"/>
          <w:color w:val="000000" w:themeColor="text1"/>
          <w:sz w:val="28"/>
          <w:szCs w:val="28"/>
        </w:rPr>
      </w:pPr>
      <w:r>
        <w:rPr>
          <w:rFonts w:hint="eastAsia" w:ascii="仿宋" w:hAnsi="仿宋" w:eastAsia="仿宋" w:cstheme="minorEastAsia"/>
          <w:sz w:val="28"/>
          <w:szCs w:val="28"/>
        </w:rPr>
        <w:t>27、具有图形化技术报警指示功能，帮助医护团队快速识别报警来源。</w:t>
      </w:r>
    </w:p>
    <w:p>
      <w:pPr>
        <w:keepNext w:val="0"/>
        <w:keepLines w:val="0"/>
        <w:pageBreakBefore w:val="0"/>
        <w:widowControl w:val="0"/>
        <w:kinsoku/>
        <w:wordWrap/>
        <w:overflowPunct/>
        <w:topLinePunct w:val="0"/>
        <w:bidi w:val="0"/>
        <w:spacing w:line="500" w:lineRule="exact"/>
        <w:ind w:right="42" w:rightChars="20"/>
        <w:textAlignment w:val="auto"/>
        <w:rPr>
          <w:rFonts w:ascii="仿宋" w:hAnsi="仿宋" w:eastAsia="仿宋" w:cstheme="minorEastAsia"/>
          <w:sz w:val="28"/>
          <w:szCs w:val="28"/>
        </w:rPr>
      </w:pPr>
      <w:r>
        <w:rPr>
          <w:rFonts w:hint="eastAsia" w:ascii="仿宋" w:hAnsi="仿宋" w:eastAsia="仿宋" w:cstheme="minorEastAsia"/>
          <w:sz w:val="28"/>
          <w:szCs w:val="28"/>
        </w:rPr>
        <w:t>28、支持≥120小时趋势图和趋势表回顾，支持选择不同趋势组回顾</w:t>
      </w:r>
    </w:p>
    <w:p>
      <w:pPr>
        <w:keepNext w:val="0"/>
        <w:keepLines w:val="0"/>
        <w:pageBreakBefore w:val="0"/>
        <w:widowControl w:val="0"/>
        <w:kinsoku/>
        <w:wordWrap/>
        <w:overflowPunct/>
        <w:topLinePunct w:val="0"/>
        <w:bidi w:val="0"/>
        <w:spacing w:line="500" w:lineRule="exact"/>
        <w:ind w:right="42" w:rightChars="20"/>
        <w:textAlignment w:val="auto"/>
        <w:rPr>
          <w:rFonts w:ascii="仿宋" w:hAnsi="仿宋" w:eastAsia="仿宋" w:cstheme="minorEastAsia"/>
          <w:sz w:val="28"/>
          <w:szCs w:val="28"/>
        </w:rPr>
      </w:pPr>
      <w:r>
        <w:rPr>
          <w:rFonts w:hint="eastAsia" w:ascii="仿宋" w:hAnsi="仿宋" w:eastAsia="仿宋" w:cstheme="minorEastAsia"/>
          <w:sz w:val="28"/>
          <w:szCs w:val="28"/>
        </w:rPr>
        <w:t>29、≥1000条事件回顾。每条报警事件至少能够存储32秒三道相关波形，以及报警触发时所有测量参数值、≥1000组NIBP测量结果、≥120小时（分辨率1分钟）ST模板存储与回顾</w:t>
      </w:r>
      <w:r>
        <w:rPr>
          <w:rFonts w:hint="eastAsia" w:ascii="仿宋" w:hAnsi="仿宋" w:eastAsia="仿宋" w:cstheme="minorEastAsia"/>
          <w:color w:val="000000" w:themeColor="text1"/>
          <w:sz w:val="28"/>
          <w:szCs w:val="28"/>
        </w:rPr>
        <w:t>、支持48小时全息波形的存储与回顾功能、支持监护仪历史病人数据的存储和回顾，并支持通过USB接口将历史病人数据导出到U盘。</w:t>
      </w:r>
    </w:p>
    <w:p>
      <w:pPr>
        <w:keepNext w:val="0"/>
        <w:keepLines w:val="0"/>
        <w:pageBreakBefore w:val="0"/>
        <w:widowControl w:val="0"/>
        <w:kinsoku/>
        <w:wordWrap/>
        <w:overflowPunct/>
        <w:topLinePunct w:val="0"/>
        <w:bidi w:val="0"/>
        <w:snapToGrid w:val="0"/>
        <w:spacing w:line="500" w:lineRule="exact"/>
        <w:contextualSpacing/>
        <w:textAlignment w:val="auto"/>
        <w:rPr>
          <w:rFonts w:hint="eastAsia" w:ascii="仿宋" w:hAnsi="仿宋" w:eastAsia="仿宋" w:cstheme="minorEastAsia"/>
          <w:sz w:val="28"/>
          <w:szCs w:val="28"/>
        </w:rPr>
      </w:pPr>
      <w:r>
        <w:rPr>
          <w:rFonts w:hint="eastAsia" w:ascii="仿宋" w:hAnsi="仿宋" w:eastAsia="仿宋" w:cstheme="minorEastAsia"/>
          <w:sz w:val="28"/>
          <w:szCs w:val="28"/>
        </w:rPr>
        <w:t>30、支持RJ45接口进行有线网络通信，和除颤监护仪一起联网通信到中心监护系统。</w:t>
      </w:r>
    </w:p>
    <w:p>
      <w:pPr>
        <w:keepNext w:val="0"/>
        <w:keepLines w:val="0"/>
        <w:pageBreakBefore w:val="0"/>
        <w:widowControl w:val="0"/>
        <w:kinsoku/>
        <w:wordWrap/>
        <w:overflowPunct/>
        <w:topLinePunct w:val="0"/>
        <w:bidi w:val="0"/>
        <w:snapToGrid w:val="0"/>
        <w:spacing w:line="500" w:lineRule="exact"/>
        <w:contextualSpacing/>
        <w:textAlignment w:val="auto"/>
        <w:rPr>
          <w:rFonts w:hint="eastAsia" w:ascii="仿宋" w:hAnsi="仿宋" w:eastAsia="仿宋" w:cstheme="minorEastAsia"/>
          <w:sz w:val="28"/>
          <w:szCs w:val="28"/>
        </w:rPr>
      </w:pPr>
    </w:p>
    <w:p>
      <w:pPr>
        <w:snapToGrid w:val="0"/>
        <w:spacing w:line="300" w:lineRule="auto"/>
        <w:ind w:firstLine="275" w:firstLineChars="98"/>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3.4其它额外评标因素和标准：</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3.4.1</w:t>
      </w:r>
      <w:r>
        <w:rPr>
          <w:rFonts w:hint="eastAsia" w:ascii="仿宋" w:hAnsi="仿宋" w:eastAsia="仿宋" w:cs="宋体"/>
          <w:color w:val="333333"/>
          <w:kern w:val="0"/>
          <w:sz w:val="28"/>
          <w:szCs w:val="28"/>
          <w:lang w:val="en-US" w:eastAsia="zh-CN"/>
        </w:rPr>
        <w:t xml:space="preserve"> </w:t>
      </w:r>
      <w:r>
        <w:rPr>
          <w:rFonts w:hint="eastAsia" w:ascii="仿宋" w:hAnsi="仿宋" w:eastAsia="仿宋" w:cs="宋体"/>
          <w:color w:val="333333"/>
          <w:kern w:val="0"/>
          <w:sz w:val="28"/>
          <w:szCs w:val="28"/>
        </w:rPr>
        <w:t>“★” 号项必须满足，任何一项不符，则废标。其他一般技术偏离达到3项废标。</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3.4.2</w:t>
      </w:r>
      <w:r>
        <w:rPr>
          <w:rFonts w:hint="eastAsia" w:ascii="仿宋" w:hAnsi="仿宋" w:eastAsia="仿宋" w:cs="宋体"/>
          <w:color w:val="333333"/>
          <w:kern w:val="0"/>
          <w:sz w:val="28"/>
          <w:szCs w:val="28"/>
          <w:lang w:val="en-US" w:eastAsia="zh-CN"/>
        </w:rPr>
        <w:t xml:space="preserve"> </w:t>
      </w:r>
      <w:r>
        <w:rPr>
          <w:rFonts w:hint="eastAsia" w:ascii="仿宋" w:hAnsi="仿宋" w:eastAsia="仿宋" w:cs="宋体"/>
          <w:color w:val="333333"/>
          <w:kern w:val="0"/>
          <w:sz w:val="28"/>
          <w:szCs w:val="28"/>
        </w:rPr>
        <w:t xml:space="preserve">投标分项报价表与技术规格偏离表必须严格按照招标文件的要求制作，如果未按照招标文件的要求制作，由此产生的投标被否决的风险由投标人承担。 </w:t>
      </w:r>
    </w:p>
    <w:p>
      <w:pPr>
        <w:snapToGrid w:val="0"/>
        <w:spacing w:line="300" w:lineRule="auto"/>
        <w:ind w:firstLine="281" w:firstLineChars="100"/>
        <w:contextualSpacing/>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3.5采购标的需满足的服务标准、期限、效率等要求：</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响应时间：成交供应商应在收到买方电话4小时内响应，24小时到达现场。</w:t>
      </w:r>
    </w:p>
    <w:p>
      <w:pPr>
        <w:snapToGrid w:val="0"/>
        <w:spacing w:line="300" w:lineRule="auto"/>
        <w:ind w:firstLine="281" w:firstLineChars="100"/>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3.6采购标的的验收标准：</w:t>
      </w:r>
      <w:r>
        <w:rPr>
          <w:rFonts w:hint="eastAsia" w:ascii="仿宋" w:hAnsi="仿宋" w:eastAsia="仿宋" w:cs="宋体"/>
          <w:color w:val="333333"/>
          <w:kern w:val="0"/>
          <w:sz w:val="28"/>
          <w:szCs w:val="28"/>
        </w:rPr>
        <w:t>严格根据采购文件、响应文件以及国家相关规定、标准进行验收。</w:t>
      </w:r>
    </w:p>
    <w:p>
      <w:pPr>
        <w:snapToGrid w:val="0"/>
        <w:spacing w:line="300" w:lineRule="auto"/>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四、项目其他要求</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4.1签定合同日期：自成交公告结束后</w:t>
      </w:r>
      <w:r>
        <w:rPr>
          <w:rFonts w:hint="eastAsia" w:ascii="仿宋" w:hAnsi="仿宋" w:eastAsia="仿宋" w:cs="宋体"/>
          <w:color w:val="333333"/>
          <w:kern w:val="0"/>
          <w:sz w:val="28"/>
          <w:szCs w:val="28"/>
          <w:u w:val="single"/>
        </w:rPr>
        <w:t xml:space="preserve"> 3</w:t>
      </w:r>
      <w:r>
        <w:rPr>
          <w:rFonts w:hint="eastAsia" w:ascii="仿宋" w:hAnsi="仿宋" w:eastAsia="仿宋" w:cs="宋体"/>
          <w:color w:val="333333"/>
          <w:kern w:val="0"/>
          <w:sz w:val="28"/>
          <w:szCs w:val="28"/>
        </w:rPr>
        <w:t>日内按时签约。</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4.2交货期（服务时间）：自合同签定之日起</w:t>
      </w:r>
      <w:r>
        <w:rPr>
          <w:rFonts w:hint="eastAsia" w:ascii="仿宋" w:hAnsi="仿宋" w:eastAsia="仿宋" w:cs="宋体"/>
          <w:color w:val="333333"/>
          <w:kern w:val="0"/>
          <w:sz w:val="28"/>
          <w:szCs w:val="28"/>
          <w:u w:val="single"/>
        </w:rPr>
        <w:t xml:space="preserve"> 10 </w:t>
      </w:r>
      <w:r>
        <w:rPr>
          <w:rFonts w:hint="eastAsia" w:ascii="仿宋" w:hAnsi="仿宋" w:eastAsia="仿宋" w:cs="宋体"/>
          <w:color w:val="333333"/>
          <w:kern w:val="0"/>
          <w:sz w:val="28"/>
          <w:szCs w:val="28"/>
        </w:rPr>
        <w:t>日内。</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4.3交货（服务）地点：买方指定地点。</w:t>
      </w:r>
    </w:p>
    <w:p>
      <w:pPr>
        <w:snapToGrid w:val="0"/>
        <w:spacing w:line="300" w:lineRule="auto"/>
        <w:ind w:firstLine="280" w:firstLineChars="100"/>
        <w:contextualSpacing/>
        <w:rPr>
          <w:rFonts w:ascii="仿宋" w:hAnsi="仿宋" w:eastAsia="仿宋" w:cs="宋体"/>
          <w:color w:val="0000FF"/>
          <w:kern w:val="0"/>
          <w:sz w:val="28"/>
          <w:szCs w:val="28"/>
        </w:rPr>
      </w:pPr>
      <w:r>
        <w:rPr>
          <w:rFonts w:hint="eastAsia" w:ascii="仿宋" w:hAnsi="仿宋" w:eastAsia="仿宋" w:cs="宋体"/>
          <w:color w:val="333333"/>
          <w:kern w:val="0"/>
          <w:sz w:val="28"/>
          <w:szCs w:val="28"/>
        </w:rPr>
        <w:t>4.4质保期限（自交货并验收合格之日起计）：质保期</w:t>
      </w:r>
      <w:r>
        <w:rPr>
          <w:rFonts w:hint="eastAsia" w:ascii="仿宋" w:hAnsi="仿宋" w:eastAsia="仿宋" w:cs="宋体"/>
          <w:color w:val="333333"/>
          <w:kern w:val="0"/>
          <w:sz w:val="28"/>
          <w:szCs w:val="28"/>
          <w:u w:val="single"/>
        </w:rPr>
        <w:t xml:space="preserve"> 3 </w:t>
      </w:r>
      <w:r>
        <w:rPr>
          <w:rFonts w:hint="eastAsia" w:ascii="仿宋" w:hAnsi="仿宋" w:eastAsia="仿宋" w:cs="宋体"/>
          <w:color w:val="333333"/>
          <w:kern w:val="0"/>
          <w:sz w:val="28"/>
          <w:szCs w:val="28"/>
        </w:rPr>
        <w:t>年，终身维护。</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4.5验收方案、售后服务及其他（含安装、调试、培训、维护等）：成交供应商先期进行场地勘察，在交货期内将上述采购货物送到买方指定地点，并负责安装调试、提供技术援助、人员培训。</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设备验收时间：设备试用后3个工作日内进行验收。</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验收方法：买方收货时应对产品的数量、型号、规格、包装等进行初步验收，验收无误应签署收货单；卖方需免费派工程师到达现场协助验收工作，保证货物经正确安装、正常运转和保养，在其使用寿命期内具有符合质量要求和产品说明书的性能。</w:t>
      </w:r>
    </w:p>
    <w:p>
      <w:pPr>
        <w:snapToGrid w:val="0"/>
        <w:spacing w:line="300" w:lineRule="auto"/>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五、付款时间和条件</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货物交付验收合格、良好运行一个月后付货款的90%，一年后无质量问题付清余款，不计息。</w:t>
      </w:r>
    </w:p>
    <w:p>
      <w:pPr>
        <w:widowControl/>
        <w:shd w:val="clear" w:color="auto" w:fill="FFFFFF"/>
        <w:spacing w:line="480" w:lineRule="exact"/>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六、特别提醒</w:t>
      </w:r>
    </w:p>
    <w:p>
      <w:pPr>
        <w:widowControl/>
        <w:shd w:val="clear" w:color="auto" w:fill="FFFFFF"/>
        <w:spacing w:line="480" w:lineRule="exact"/>
        <w:ind w:firstLine="560" w:firstLineChars="200"/>
        <w:jc w:val="left"/>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请供应商仔细阅读项目需求。采购人的需求供应商应进行实事求是的响应。成交供应商在与采购人签订合同和履约环节中不得提出异议，一切后果和损失由成交供应商承担。供应商提供的服务与采购人项目需求要求不同的，必须做书面说明，否则视同完全响应。</w:t>
      </w:r>
    </w:p>
    <w:p>
      <w:pPr>
        <w:widowControl/>
        <w:shd w:val="clear" w:color="auto" w:fill="FFFFFF"/>
        <w:spacing w:line="480" w:lineRule="exact"/>
        <w:ind w:firstLine="560" w:firstLineChars="200"/>
        <w:jc w:val="left"/>
        <w:rPr>
          <w:rFonts w:hint="eastAsia" w:ascii="仿宋" w:hAnsi="仿宋" w:eastAsia="仿宋" w:cs="宋体"/>
          <w:color w:val="333333"/>
          <w:kern w:val="0"/>
          <w:sz w:val="28"/>
          <w:szCs w:val="28"/>
        </w:rPr>
      </w:pPr>
    </w:p>
    <w:p>
      <w:pPr>
        <w:widowControl/>
        <w:shd w:val="clear" w:color="auto" w:fill="FFFFFF"/>
        <w:spacing w:line="480" w:lineRule="exact"/>
        <w:ind w:firstLine="560" w:firstLineChars="200"/>
        <w:jc w:val="left"/>
        <w:rPr>
          <w:rFonts w:hint="eastAsia" w:ascii="仿宋" w:hAnsi="仿宋" w:eastAsia="仿宋" w:cs="宋体"/>
          <w:color w:val="333333"/>
          <w:kern w:val="0"/>
          <w:sz w:val="28"/>
          <w:szCs w:val="28"/>
        </w:rPr>
      </w:pPr>
    </w:p>
    <w:p>
      <w:pPr>
        <w:widowControl/>
        <w:shd w:val="clear" w:color="auto" w:fill="FFFFFF"/>
        <w:spacing w:line="480" w:lineRule="exact"/>
        <w:ind w:firstLine="560" w:firstLineChars="200"/>
        <w:jc w:val="left"/>
        <w:rPr>
          <w:rFonts w:hint="eastAsia" w:ascii="仿宋" w:hAnsi="仿宋" w:eastAsia="仿宋" w:cs="宋体"/>
          <w:color w:val="333333"/>
          <w:kern w:val="0"/>
          <w:sz w:val="28"/>
          <w:szCs w:val="28"/>
        </w:rPr>
      </w:pPr>
    </w:p>
    <w:p>
      <w:pPr>
        <w:widowControl/>
        <w:shd w:val="clear" w:color="auto" w:fill="FFFFFF"/>
        <w:spacing w:line="480" w:lineRule="exact"/>
        <w:ind w:firstLine="560" w:firstLineChars="200"/>
        <w:jc w:val="left"/>
        <w:rPr>
          <w:rFonts w:hint="eastAsia" w:ascii="仿宋" w:hAnsi="仿宋" w:eastAsia="仿宋" w:cs="宋体"/>
          <w:color w:val="333333"/>
          <w:kern w:val="0"/>
          <w:sz w:val="28"/>
          <w:szCs w:val="28"/>
        </w:rPr>
      </w:pPr>
    </w:p>
    <w:p>
      <w:pPr>
        <w:widowControl/>
        <w:shd w:val="clear" w:color="auto" w:fill="FFFFFF"/>
        <w:spacing w:line="480" w:lineRule="exact"/>
        <w:ind w:firstLine="560" w:firstLineChars="200"/>
        <w:jc w:val="left"/>
        <w:rPr>
          <w:rFonts w:hint="eastAsia" w:ascii="仿宋" w:hAnsi="仿宋" w:eastAsia="仿宋" w:cs="宋体"/>
          <w:color w:val="333333"/>
          <w:kern w:val="0"/>
          <w:sz w:val="28"/>
          <w:szCs w:val="28"/>
        </w:rPr>
      </w:pPr>
    </w:p>
    <w:p>
      <w:pPr>
        <w:widowControl/>
        <w:shd w:val="clear" w:color="auto" w:fill="FFFFFF"/>
        <w:spacing w:line="480" w:lineRule="exact"/>
        <w:ind w:firstLine="560" w:firstLineChars="200"/>
        <w:jc w:val="left"/>
        <w:rPr>
          <w:rFonts w:hint="eastAsia" w:ascii="仿宋" w:hAnsi="仿宋" w:eastAsia="仿宋" w:cs="宋体"/>
          <w:color w:val="333333"/>
          <w:kern w:val="0"/>
          <w:sz w:val="28"/>
          <w:szCs w:val="28"/>
        </w:rPr>
      </w:pPr>
    </w:p>
    <w:p>
      <w:pPr>
        <w:widowControl/>
        <w:shd w:val="clear" w:color="auto" w:fill="FFFFFF"/>
        <w:spacing w:line="480" w:lineRule="exact"/>
        <w:ind w:firstLine="560" w:firstLineChars="200"/>
        <w:jc w:val="left"/>
        <w:rPr>
          <w:rFonts w:hint="eastAsia" w:ascii="仿宋" w:hAnsi="仿宋" w:eastAsia="仿宋" w:cs="宋体"/>
          <w:color w:val="333333"/>
          <w:kern w:val="0"/>
          <w:sz w:val="28"/>
          <w:szCs w:val="28"/>
        </w:rPr>
      </w:pPr>
    </w:p>
    <w:p>
      <w:pPr>
        <w:widowControl/>
        <w:shd w:val="clear" w:color="auto" w:fill="FFFFFF"/>
        <w:spacing w:line="480" w:lineRule="exact"/>
        <w:ind w:firstLine="560" w:firstLineChars="200"/>
        <w:jc w:val="left"/>
        <w:rPr>
          <w:rFonts w:hint="eastAsia" w:ascii="仿宋" w:hAnsi="仿宋" w:eastAsia="仿宋" w:cs="宋体"/>
          <w:color w:val="333333"/>
          <w:kern w:val="0"/>
          <w:sz w:val="28"/>
          <w:szCs w:val="28"/>
        </w:rPr>
      </w:pPr>
    </w:p>
    <w:p>
      <w:pPr>
        <w:widowControl/>
        <w:shd w:val="clear" w:color="auto" w:fill="FFFFFF"/>
        <w:spacing w:line="480" w:lineRule="exact"/>
        <w:ind w:firstLine="560" w:firstLineChars="200"/>
        <w:jc w:val="left"/>
        <w:rPr>
          <w:rFonts w:hint="eastAsia" w:ascii="仿宋" w:hAnsi="仿宋" w:eastAsia="仿宋" w:cs="宋体"/>
          <w:color w:val="333333"/>
          <w:kern w:val="0"/>
          <w:sz w:val="28"/>
          <w:szCs w:val="28"/>
        </w:rPr>
      </w:pPr>
    </w:p>
    <w:p>
      <w:pPr>
        <w:widowControl/>
        <w:shd w:val="clear" w:color="auto" w:fill="FFFFFF"/>
        <w:spacing w:line="480" w:lineRule="exact"/>
        <w:ind w:firstLine="560" w:firstLineChars="200"/>
        <w:jc w:val="left"/>
        <w:rPr>
          <w:rFonts w:hint="eastAsia" w:ascii="仿宋" w:hAnsi="仿宋" w:eastAsia="仿宋" w:cs="宋体"/>
          <w:color w:val="333333"/>
          <w:kern w:val="0"/>
          <w:sz w:val="28"/>
          <w:szCs w:val="28"/>
        </w:rPr>
      </w:pPr>
    </w:p>
    <w:p>
      <w:pPr>
        <w:widowControl/>
        <w:shd w:val="clear" w:color="auto" w:fill="FFFFFF"/>
        <w:spacing w:line="480" w:lineRule="exact"/>
        <w:ind w:firstLine="560" w:firstLineChars="200"/>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snapToGrid w:val="0"/>
        <w:spacing w:line="300" w:lineRule="auto"/>
        <w:jc w:val="center"/>
        <w:rPr>
          <w:rFonts w:hint="eastAsia" w:ascii="仿宋" w:hAnsi="仿宋" w:eastAsia="仿宋"/>
          <w:b/>
          <w:sz w:val="36"/>
          <w:szCs w:val="36"/>
        </w:rPr>
      </w:pPr>
    </w:p>
    <w:p>
      <w:pPr>
        <w:snapToGrid w:val="0"/>
        <w:spacing w:line="300" w:lineRule="auto"/>
        <w:jc w:val="center"/>
        <w:rPr>
          <w:rFonts w:hint="eastAsia" w:ascii="仿宋" w:hAnsi="仿宋" w:eastAsia="仿宋"/>
          <w:b/>
          <w:sz w:val="36"/>
          <w:szCs w:val="36"/>
        </w:rPr>
      </w:pPr>
    </w:p>
    <w:p>
      <w:pPr>
        <w:snapToGrid w:val="0"/>
        <w:spacing w:line="300" w:lineRule="auto"/>
        <w:jc w:val="center"/>
        <w:rPr>
          <w:rFonts w:hint="eastAsia" w:ascii="仿宋" w:hAnsi="仿宋" w:eastAsia="仿宋"/>
          <w:b/>
          <w:sz w:val="36"/>
          <w:szCs w:val="36"/>
        </w:rPr>
      </w:pPr>
    </w:p>
    <w:p>
      <w:pPr>
        <w:snapToGrid w:val="0"/>
        <w:spacing w:line="300" w:lineRule="auto"/>
        <w:jc w:val="center"/>
        <w:rPr>
          <w:rFonts w:hint="eastAsia" w:ascii="仿宋" w:hAnsi="仿宋" w:eastAsia="仿宋"/>
          <w:b/>
          <w:sz w:val="36"/>
          <w:szCs w:val="36"/>
        </w:rPr>
      </w:pPr>
    </w:p>
    <w:p>
      <w:pPr>
        <w:snapToGrid w:val="0"/>
        <w:spacing w:line="300" w:lineRule="auto"/>
        <w:jc w:val="center"/>
        <w:rPr>
          <w:rFonts w:hint="eastAsia" w:ascii="仿宋" w:hAnsi="仿宋" w:eastAsia="仿宋"/>
          <w:b/>
          <w:sz w:val="36"/>
          <w:szCs w:val="36"/>
        </w:rPr>
      </w:pPr>
    </w:p>
    <w:p>
      <w:pPr>
        <w:snapToGrid w:val="0"/>
        <w:spacing w:line="300" w:lineRule="auto"/>
        <w:jc w:val="center"/>
        <w:rPr>
          <w:rFonts w:hint="eastAsia" w:ascii="仿宋" w:hAnsi="仿宋" w:eastAsia="仿宋"/>
          <w:b/>
          <w:sz w:val="36"/>
          <w:szCs w:val="36"/>
        </w:rPr>
      </w:pPr>
    </w:p>
    <w:p>
      <w:pPr>
        <w:snapToGrid w:val="0"/>
        <w:spacing w:line="300" w:lineRule="auto"/>
        <w:jc w:val="center"/>
        <w:rPr>
          <w:rFonts w:hint="eastAsia" w:ascii="仿宋" w:hAnsi="仿宋" w:eastAsia="仿宋"/>
          <w:b/>
          <w:sz w:val="36"/>
          <w:szCs w:val="36"/>
        </w:rPr>
      </w:pPr>
    </w:p>
    <w:p>
      <w:pPr>
        <w:snapToGrid w:val="0"/>
        <w:spacing w:line="300" w:lineRule="auto"/>
        <w:jc w:val="center"/>
        <w:rPr>
          <w:rFonts w:hint="eastAsia" w:ascii="仿宋" w:hAnsi="仿宋" w:eastAsia="仿宋"/>
          <w:b/>
          <w:sz w:val="36"/>
          <w:szCs w:val="36"/>
        </w:rPr>
      </w:pPr>
    </w:p>
    <w:p>
      <w:pPr>
        <w:snapToGrid w:val="0"/>
        <w:spacing w:line="300" w:lineRule="auto"/>
        <w:jc w:val="center"/>
        <w:rPr>
          <w:rFonts w:hint="eastAsia" w:ascii="仿宋" w:hAnsi="仿宋" w:eastAsia="仿宋"/>
          <w:b/>
          <w:sz w:val="36"/>
          <w:szCs w:val="36"/>
        </w:rPr>
      </w:pPr>
    </w:p>
    <w:p>
      <w:pPr>
        <w:snapToGrid w:val="0"/>
        <w:spacing w:line="300" w:lineRule="auto"/>
        <w:jc w:val="left"/>
        <w:rPr>
          <w:rFonts w:hint="eastAsia" w:ascii="仿宋" w:hAnsi="仿宋" w:eastAsia="仿宋"/>
          <w:b/>
          <w:sz w:val="32"/>
          <w:szCs w:val="32"/>
          <w:lang w:val="en-US" w:eastAsia="zh-CN"/>
        </w:rPr>
      </w:pPr>
      <w:r>
        <w:rPr>
          <w:rFonts w:hint="eastAsia" w:ascii="仿宋" w:hAnsi="仿宋" w:eastAsia="仿宋"/>
          <w:b/>
          <w:sz w:val="32"/>
          <w:szCs w:val="32"/>
          <w:lang w:val="en-US" w:eastAsia="zh-CN"/>
        </w:rPr>
        <w:t>附件1</w:t>
      </w:r>
    </w:p>
    <w:p>
      <w:pPr>
        <w:snapToGrid w:val="0"/>
        <w:spacing w:line="300" w:lineRule="auto"/>
        <w:jc w:val="center"/>
        <w:rPr>
          <w:rFonts w:ascii="仿宋" w:hAnsi="仿宋" w:eastAsia="仿宋"/>
          <w:b/>
          <w:sz w:val="32"/>
          <w:szCs w:val="32"/>
        </w:rPr>
      </w:pPr>
      <w:r>
        <w:rPr>
          <w:rFonts w:hint="eastAsia" w:ascii="仿宋" w:hAnsi="仿宋" w:eastAsia="仿宋"/>
          <w:b/>
          <w:sz w:val="36"/>
          <w:szCs w:val="36"/>
        </w:rPr>
        <w:t>海安市人民医院市场询价单</w:t>
      </w:r>
    </w:p>
    <w:p>
      <w:pPr>
        <w:spacing w:line="500" w:lineRule="exact"/>
        <w:rPr>
          <w:rFonts w:ascii="仿宋" w:hAnsi="仿宋" w:eastAsia="仿宋"/>
          <w:b/>
          <w:sz w:val="36"/>
          <w:szCs w:val="36"/>
        </w:rPr>
      </w:pPr>
    </w:p>
    <w:tbl>
      <w:tblPr>
        <w:tblStyle w:val="9"/>
        <w:tblW w:w="0" w:type="auto"/>
        <w:tblInd w:w="-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812"/>
        <w:gridCol w:w="1443"/>
        <w:gridCol w:w="1260"/>
        <w:gridCol w:w="1155"/>
        <w:gridCol w:w="1155"/>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noWrap/>
          </w:tcPr>
          <w:p>
            <w:pPr>
              <w:snapToGrid w:val="0"/>
              <w:spacing w:line="300" w:lineRule="auto"/>
              <w:rPr>
                <w:rFonts w:ascii="仿宋" w:hAnsi="仿宋" w:eastAsia="仿宋"/>
                <w:b/>
                <w:sz w:val="28"/>
                <w:szCs w:val="28"/>
              </w:rPr>
            </w:pPr>
            <w:r>
              <w:rPr>
                <w:rFonts w:hint="eastAsia" w:ascii="仿宋" w:hAnsi="仿宋" w:eastAsia="仿宋"/>
                <w:b/>
                <w:sz w:val="28"/>
                <w:szCs w:val="28"/>
              </w:rPr>
              <w:t>序号</w:t>
            </w:r>
          </w:p>
        </w:tc>
        <w:tc>
          <w:tcPr>
            <w:tcW w:w="1812" w:type="dxa"/>
            <w:noWrap/>
          </w:tcPr>
          <w:p>
            <w:pPr>
              <w:snapToGrid w:val="0"/>
              <w:spacing w:line="300" w:lineRule="auto"/>
              <w:rPr>
                <w:rFonts w:ascii="仿宋" w:hAnsi="仿宋" w:eastAsia="仿宋"/>
                <w:b/>
                <w:sz w:val="28"/>
                <w:szCs w:val="28"/>
              </w:rPr>
            </w:pPr>
            <w:r>
              <w:rPr>
                <w:rFonts w:hint="eastAsia" w:ascii="仿宋" w:hAnsi="仿宋" w:eastAsia="仿宋"/>
                <w:b/>
                <w:sz w:val="28"/>
                <w:szCs w:val="28"/>
              </w:rPr>
              <w:t>名称</w:t>
            </w:r>
          </w:p>
        </w:tc>
        <w:tc>
          <w:tcPr>
            <w:tcW w:w="1443" w:type="dxa"/>
            <w:noWrap/>
            <w:vAlign w:val="center"/>
          </w:tcPr>
          <w:p>
            <w:pPr>
              <w:snapToGrid w:val="0"/>
              <w:spacing w:line="300" w:lineRule="auto"/>
              <w:jc w:val="center"/>
              <w:rPr>
                <w:rFonts w:ascii="仿宋" w:hAnsi="仿宋" w:eastAsia="仿宋"/>
                <w:b/>
                <w:sz w:val="28"/>
                <w:szCs w:val="28"/>
              </w:rPr>
            </w:pPr>
            <w:r>
              <w:rPr>
                <w:rFonts w:hint="eastAsia" w:ascii="仿宋" w:hAnsi="仿宋" w:eastAsia="仿宋"/>
                <w:b/>
                <w:sz w:val="28"/>
                <w:szCs w:val="28"/>
              </w:rPr>
              <w:t>品牌 规格 配置</w:t>
            </w:r>
          </w:p>
        </w:tc>
        <w:tc>
          <w:tcPr>
            <w:tcW w:w="1260" w:type="dxa"/>
            <w:noWrap/>
            <w:vAlign w:val="center"/>
          </w:tcPr>
          <w:p>
            <w:pPr>
              <w:snapToGrid w:val="0"/>
              <w:spacing w:line="300" w:lineRule="auto"/>
              <w:jc w:val="center"/>
              <w:rPr>
                <w:rFonts w:ascii="仿宋" w:hAnsi="仿宋" w:eastAsia="仿宋"/>
                <w:b/>
                <w:sz w:val="28"/>
                <w:szCs w:val="28"/>
              </w:rPr>
            </w:pPr>
            <w:r>
              <w:rPr>
                <w:rFonts w:hint="eastAsia" w:ascii="仿宋" w:hAnsi="仿宋" w:eastAsia="仿宋"/>
                <w:b/>
                <w:sz w:val="28"/>
                <w:szCs w:val="28"/>
              </w:rPr>
              <w:t>数量</w:t>
            </w:r>
          </w:p>
        </w:tc>
        <w:tc>
          <w:tcPr>
            <w:tcW w:w="1155" w:type="dxa"/>
            <w:noWrap/>
          </w:tcPr>
          <w:p>
            <w:pPr>
              <w:snapToGrid w:val="0"/>
              <w:spacing w:line="300" w:lineRule="auto"/>
              <w:jc w:val="center"/>
              <w:rPr>
                <w:rFonts w:ascii="仿宋" w:hAnsi="仿宋" w:eastAsia="仿宋"/>
                <w:b/>
                <w:sz w:val="28"/>
                <w:szCs w:val="28"/>
              </w:rPr>
            </w:pPr>
            <w:r>
              <w:rPr>
                <w:rFonts w:hint="eastAsia" w:ascii="仿宋" w:hAnsi="仿宋" w:eastAsia="仿宋"/>
                <w:b/>
                <w:sz w:val="28"/>
                <w:szCs w:val="28"/>
              </w:rPr>
              <w:t>单价</w:t>
            </w:r>
          </w:p>
          <w:p>
            <w:pPr>
              <w:snapToGrid w:val="0"/>
              <w:spacing w:line="300" w:lineRule="auto"/>
              <w:jc w:val="center"/>
              <w:rPr>
                <w:rFonts w:ascii="仿宋" w:hAnsi="仿宋" w:eastAsia="仿宋"/>
                <w:b/>
                <w:sz w:val="28"/>
                <w:szCs w:val="28"/>
              </w:rPr>
            </w:pPr>
            <w:r>
              <w:rPr>
                <w:rFonts w:hint="eastAsia" w:ascii="仿宋" w:hAnsi="仿宋" w:eastAsia="仿宋"/>
                <w:b/>
                <w:sz w:val="28"/>
                <w:szCs w:val="28"/>
              </w:rPr>
              <w:t>（元）</w:t>
            </w:r>
          </w:p>
        </w:tc>
        <w:tc>
          <w:tcPr>
            <w:tcW w:w="1155" w:type="dxa"/>
            <w:noWrap/>
          </w:tcPr>
          <w:p>
            <w:pPr>
              <w:snapToGrid w:val="0"/>
              <w:spacing w:line="300" w:lineRule="auto"/>
              <w:jc w:val="center"/>
              <w:rPr>
                <w:rFonts w:ascii="仿宋" w:hAnsi="仿宋" w:eastAsia="仿宋"/>
                <w:b/>
                <w:sz w:val="28"/>
                <w:szCs w:val="28"/>
              </w:rPr>
            </w:pPr>
            <w:r>
              <w:rPr>
                <w:rFonts w:hint="eastAsia" w:ascii="仿宋" w:hAnsi="仿宋" w:eastAsia="仿宋"/>
                <w:b/>
                <w:sz w:val="28"/>
                <w:szCs w:val="28"/>
              </w:rPr>
              <w:t>金额</w:t>
            </w:r>
          </w:p>
          <w:p>
            <w:pPr>
              <w:snapToGrid w:val="0"/>
              <w:spacing w:line="300" w:lineRule="auto"/>
              <w:jc w:val="center"/>
              <w:rPr>
                <w:rFonts w:ascii="仿宋" w:hAnsi="仿宋" w:eastAsia="仿宋"/>
                <w:b/>
                <w:sz w:val="28"/>
                <w:szCs w:val="28"/>
              </w:rPr>
            </w:pPr>
            <w:r>
              <w:rPr>
                <w:rFonts w:hint="eastAsia" w:ascii="仿宋" w:hAnsi="仿宋" w:eastAsia="仿宋"/>
                <w:b/>
                <w:sz w:val="28"/>
                <w:szCs w:val="28"/>
              </w:rPr>
              <w:t>（元）</w:t>
            </w:r>
          </w:p>
        </w:tc>
        <w:tc>
          <w:tcPr>
            <w:tcW w:w="959" w:type="dxa"/>
            <w:noWrap/>
            <w:vAlign w:val="center"/>
          </w:tcPr>
          <w:p>
            <w:pPr>
              <w:snapToGrid w:val="0"/>
              <w:spacing w:line="300" w:lineRule="auto"/>
              <w:ind w:firstLine="138" w:firstLineChars="49"/>
              <w:jc w:val="center"/>
              <w:rPr>
                <w:rFonts w:ascii="仿宋" w:hAnsi="仿宋" w:eastAsia="仿宋"/>
                <w:b/>
                <w:sz w:val="28"/>
                <w:szCs w:val="28"/>
              </w:rPr>
            </w:pPr>
            <w:r>
              <w:rPr>
                <w:rFonts w:hint="eastAsia" w:ascii="仿宋" w:hAnsi="仿宋" w:eastAsia="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noWrap/>
          </w:tcPr>
          <w:p>
            <w:pPr>
              <w:snapToGrid w:val="0"/>
              <w:spacing w:line="300" w:lineRule="auto"/>
              <w:rPr>
                <w:rFonts w:ascii="仿宋" w:hAnsi="仿宋" w:eastAsia="仿宋"/>
                <w:b/>
                <w:sz w:val="28"/>
                <w:szCs w:val="28"/>
              </w:rPr>
            </w:pPr>
          </w:p>
        </w:tc>
        <w:tc>
          <w:tcPr>
            <w:tcW w:w="1812" w:type="dxa"/>
            <w:noWrap/>
          </w:tcPr>
          <w:p>
            <w:pPr>
              <w:snapToGrid w:val="0"/>
              <w:spacing w:line="300" w:lineRule="auto"/>
              <w:rPr>
                <w:rFonts w:ascii="仿宋" w:hAnsi="仿宋" w:eastAsia="仿宋"/>
                <w:b/>
                <w:sz w:val="28"/>
                <w:szCs w:val="28"/>
              </w:rPr>
            </w:pPr>
          </w:p>
        </w:tc>
        <w:tc>
          <w:tcPr>
            <w:tcW w:w="1443"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noWrap/>
          </w:tcPr>
          <w:p>
            <w:pPr>
              <w:snapToGrid w:val="0"/>
              <w:spacing w:line="300" w:lineRule="auto"/>
              <w:rPr>
                <w:rFonts w:ascii="仿宋" w:hAnsi="仿宋" w:eastAsia="仿宋"/>
                <w:b/>
                <w:sz w:val="28"/>
                <w:szCs w:val="28"/>
              </w:rPr>
            </w:pPr>
          </w:p>
        </w:tc>
        <w:tc>
          <w:tcPr>
            <w:tcW w:w="1812" w:type="dxa"/>
            <w:noWrap/>
          </w:tcPr>
          <w:p>
            <w:pPr>
              <w:snapToGrid w:val="0"/>
              <w:spacing w:line="300" w:lineRule="auto"/>
              <w:rPr>
                <w:rFonts w:ascii="仿宋" w:hAnsi="仿宋" w:eastAsia="仿宋"/>
                <w:b/>
                <w:sz w:val="28"/>
                <w:szCs w:val="28"/>
              </w:rPr>
            </w:pPr>
          </w:p>
        </w:tc>
        <w:tc>
          <w:tcPr>
            <w:tcW w:w="1443"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noWrap/>
          </w:tcPr>
          <w:p>
            <w:pPr>
              <w:snapToGrid w:val="0"/>
              <w:spacing w:line="300" w:lineRule="auto"/>
              <w:rPr>
                <w:rFonts w:ascii="仿宋" w:hAnsi="仿宋" w:eastAsia="仿宋"/>
                <w:b/>
                <w:sz w:val="28"/>
                <w:szCs w:val="28"/>
              </w:rPr>
            </w:pPr>
          </w:p>
        </w:tc>
        <w:tc>
          <w:tcPr>
            <w:tcW w:w="7784" w:type="dxa"/>
            <w:gridSpan w:val="6"/>
            <w:noWrap/>
          </w:tcPr>
          <w:p>
            <w:pPr>
              <w:snapToGrid w:val="0"/>
              <w:spacing w:line="300" w:lineRule="auto"/>
              <w:rPr>
                <w:rFonts w:ascii="仿宋" w:hAnsi="仿宋" w:eastAsia="仿宋"/>
                <w:b/>
                <w:sz w:val="28"/>
                <w:szCs w:val="28"/>
              </w:rPr>
            </w:pPr>
            <w:r>
              <w:rPr>
                <w:rFonts w:hint="eastAsia" w:ascii="仿宋" w:hAnsi="仿宋" w:eastAsia="仿宋"/>
                <w:sz w:val="28"/>
                <w:szCs w:val="28"/>
              </w:rPr>
              <w:t xml:space="preserve">合  计       </w:t>
            </w:r>
          </w:p>
        </w:tc>
      </w:tr>
    </w:tbl>
    <w:p>
      <w:pPr>
        <w:snapToGrid w:val="0"/>
        <w:spacing w:line="300" w:lineRule="auto"/>
        <w:rPr>
          <w:rFonts w:ascii="仿宋" w:hAnsi="仿宋" w:eastAsia="仿宋"/>
          <w:b/>
          <w:sz w:val="28"/>
          <w:szCs w:val="28"/>
        </w:rPr>
      </w:pPr>
    </w:p>
    <w:p>
      <w:pPr>
        <w:snapToGrid w:val="0"/>
        <w:spacing w:line="300" w:lineRule="auto"/>
        <w:rPr>
          <w:rFonts w:ascii="仿宋" w:hAnsi="仿宋" w:eastAsia="仿宋"/>
          <w:sz w:val="30"/>
          <w:szCs w:val="30"/>
        </w:rPr>
      </w:pPr>
      <w:r>
        <w:rPr>
          <w:rFonts w:hint="eastAsia" w:ascii="仿宋" w:hAnsi="仿宋" w:eastAsia="仿宋"/>
          <w:b/>
          <w:sz w:val="32"/>
          <w:szCs w:val="32"/>
        </w:rPr>
        <w:t>注：</w:t>
      </w:r>
      <w:r>
        <w:rPr>
          <w:rFonts w:hint="eastAsia" w:ascii="仿宋" w:hAnsi="仿宋" w:eastAsia="仿宋"/>
          <w:b/>
          <w:sz w:val="30"/>
          <w:szCs w:val="30"/>
        </w:rPr>
        <w:t>1.大写金额和小写金额不一致的，以大写金额为准。</w:t>
      </w:r>
    </w:p>
    <w:p>
      <w:pPr>
        <w:snapToGrid w:val="0"/>
        <w:spacing w:line="300" w:lineRule="auto"/>
        <w:rPr>
          <w:rFonts w:ascii="仿宋" w:hAnsi="仿宋" w:eastAsia="仿宋"/>
          <w:b/>
          <w:sz w:val="28"/>
          <w:szCs w:val="28"/>
        </w:rPr>
      </w:pPr>
    </w:p>
    <w:p>
      <w:pPr>
        <w:snapToGrid w:val="0"/>
        <w:spacing w:line="600" w:lineRule="exact"/>
        <w:rPr>
          <w:rFonts w:ascii="仿宋" w:hAnsi="仿宋" w:eastAsia="仿宋"/>
          <w:b/>
          <w:sz w:val="30"/>
          <w:szCs w:val="30"/>
        </w:rPr>
      </w:pPr>
      <w:r>
        <w:rPr>
          <w:rFonts w:hint="eastAsia" w:ascii="仿宋" w:hAnsi="仿宋" w:eastAsia="仿宋"/>
          <w:b/>
          <w:sz w:val="30"/>
          <w:szCs w:val="30"/>
        </w:rPr>
        <w:t>询价人：                           报价单位：</w:t>
      </w:r>
    </w:p>
    <w:p>
      <w:pPr>
        <w:snapToGrid w:val="0"/>
        <w:spacing w:line="600" w:lineRule="exact"/>
        <w:ind w:firstLine="5421" w:firstLineChars="1800"/>
        <w:rPr>
          <w:rFonts w:ascii="仿宋" w:hAnsi="仿宋" w:eastAsia="仿宋"/>
          <w:b/>
          <w:sz w:val="30"/>
          <w:szCs w:val="30"/>
        </w:rPr>
      </w:pPr>
      <w:r>
        <w:rPr>
          <w:rFonts w:hint="eastAsia" w:ascii="仿宋" w:hAnsi="仿宋" w:eastAsia="仿宋"/>
          <w:b/>
          <w:sz w:val="30"/>
          <w:szCs w:val="30"/>
        </w:rPr>
        <w:t>报价人：</w:t>
      </w:r>
    </w:p>
    <w:p>
      <w:pPr>
        <w:snapToGrid w:val="0"/>
        <w:spacing w:line="300" w:lineRule="auto"/>
        <w:rPr>
          <w:rFonts w:ascii="仿宋" w:hAnsi="仿宋" w:eastAsia="仿宋"/>
          <w:b/>
          <w:sz w:val="30"/>
          <w:szCs w:val="30"/>
        </w:rPr>
      </w:pPr>
    </w:p>
    <w:p>
      <w:pPr>
        <w:snapToGrid w:val="0"/>
        <w:spacing w:line="300" w:lineRule="auto"/>
        <w:rPr>
          <w:rFonts w:ascii="仿宋" w:hAnsi="仿宋" w:eastAsia="仿宋"/>
          <w:b/>
          <w:sz w:val="30"/>
          <w:szCs w:val="30"/>
        </w:rPr>
      </w:pPr>
    </w:p>
    <w:p>
      <w:pPr>
        <w:snapToGrid w:val="0"/>
        <w:spacing w:line="300" w:lineRule="auto"/>
        <w:ind w:firstLine="5421" w:firstLineChars="1800"/>
        <w:rPr>
          <w:rFonts w:ascii="仿宋" w:hAnsi="仿宋" w:eastAsia="仿宋"/>
          <w:b/>
          <w:sz w:val="30"/>
          <w:szCs w:val="30"/>
        </w:rPr>
      </w:pPr>
      <w:r>
        <w:rPr>
          <w:rFonts w:hint="eastAsia" w:ascii="仿宋" w:hAnsi="仿宋" w:eastAsia="仿宋"/>
          <w:b/>
          <w:sz w:val="30"/>
          <w:szCs w:val="30"/>
        </w:rPr>
        <w:t>日期：</w:t>
      </w:r>
    </w:p>
    <w:p>
      <w:pPr>
        <w:snapToGrid w:val="0"/>
        <w:spacing w:line="300" w:lineRule="auto"/>
        <w:rPr>
          <w:rFonts w:ascii="仿宋" w:hAnsi="仿宋" w:eastAsia="仿宋"/>
          <w:b/>
          <w:sz w:val="30"/>
          <w:szCs w:val="30"/>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JkZDFjZGMyMmRmOWUwYzBkNmY3MTdmNWY5ODYxYjYifQ=="/>
  </w:docVars>
  <w:rsids>
    <w:rsidRoot w:val="00636E74"/>
    <w:rsid w:val="0008109B"/>
    <w:rsid w:val="000B29B0"/>
    <w:rsid w:val="000D0D8B"/>
    <w:rsid w:val="000D5C27"/>
    <w:rsid w:val="000F3612"/>
    <w:rsid w:val="001101B6"/>
    <w:rsid w:val="00277FDD"/>
    <w:rsid w:val="00300433"/>
    <w:rsid w:val="003251A6"/>
    <w:rsid w:val="003D6FA7"/>
    <w:rsid w:val="00402E3B"/>
    <w:rsid w:val="004C0666"/>
    <w:rsid w:val="004D7F98"/>
    <w:rsid w:val="0056052A"/>
    <w:rsid w:val="005A1406"/>
    <w:rsid w:val="00636E74"/>
    <w:rsid w:val="0064592A"/>
    <w:rsid w:val="00766268"/>
    <w:rsid w:val="007D7FE3"/>
    <w:rsid w:val="0083032D"/>
    <w:rsid w:val="0085450C"/>
    <w:rsid w:val="00861C48"/>
    <w:rsid w:val="008B3200"/>
    <w:rsid w:val="008F116D"/>
    <w:rsid w:val="00927744"/>
    <w:rsid w:val="00940237"/>
    <w:rsid w:val="00996FAB"/>
    <w:rsid w:val="009A0A64"/>
    <w:rsid w:val="009F5608"/>
    <w:rsid w:val="00AA45C4"/>
    <w:rsid w:val="00B84F85"/>
    <w:rsid w:val="00CB3874"/>
    <w:rsid w:val="00CB7123"/>
    <w:rsid w:val="00CE4722"/>
    <w:rsid w:val="00D17DB2"/>
    <w:rsid w:val="00D86FF3"/>
    <w:rsid w:val="00E00B91"/>
    <w:rsid w:val="00F61444"/>
    <w:rsid w:val="00F62D27"/>
    <w:rsid w:val="00F667C3"/>
    <w:rsid w:val="00FD4781"/>
    <w:rsid w:val="00FF37A4"/>
    <w:rsid w:val="02AB0941"/>
    <w:rsid w:val="03716E41"/>
    <w:rsid w:val="04AB674B"/>
    <w:rsid w:val="05095CB8"/>
    <w:rsid w:val="051C799F"/>
    <w:rsid w:val="054D707F"/>
    <w:rsid w:val="055B7809"/>
    <w:rsid w:val="05737E05"/>
    <w:rsid w:val="07A1652D"/>
    <w:rsid w:val="08512B88"/>
    <w:rsid w:val="0884197F"/>
    <w:rsid w:val="08CB7EDE"/>
    <w:rsid w:val="09227C4C"/>
    <w:rsid w:val="09E10052"/>
    <w:rsid w:val="0BB44275"/>
    <w:rsid w:val="0F420753"/>
    <w:rsid w:val="0F615697"/>
    <w:rsid w:val="10CD14EF"/>
    <w:rsid w:val="12265D3A"/>
    <w:rsid w:val="15383F11"/>
    <w:rsid w:val="188527A2"/>
    <w:rsid w:val="18C82169"/>
    <w:rsid w:val="18CE6F8F"/>
    <w:rsid w:val="197E3072"/>
    <w:rsid w:val="1BB75018"/>
    <w:rsid w:val="1BBA1627"/>
    <w:rsid w:val="1BD2213B"/>
    <w:rsid w:val="1C2B429F"/>
    <w:rsid w:val="1C4209FC"/>
    <w:rsid w:val="1CF57E24"/>
    <w:rsid w:val="1D214B62"/>
    <w:rsid w:val="1D710427"/>
    <w:rsid w:val="1D734BD5"/>
    <w:rsid w:val="1D8204B6"/>
    <w:rsid w:val="1F2160AC"/>
    <w:rsid w:val="2045770A"/>
    <w:rsid w:val="208D1003"/>
    <w:rsid w:val="231C0FD0"/>
    <w:rsid w:val="241B0533"/>
    <w:rsid w:val="24797169"/>
    <w:rsid w:val="25CA410E"/>
    <w:rsid w:val="276D6DCD"/>
    <w:rsid w:val="27805FBC"/>
    <w:rsid w:val="27CB10BD"/>
    <w:rsid w:val="28B0114F"/>
    <w:rsid w:val="2A275371"/>
    <w:rsid w:val="2A2A097C"/>
    <w:rsid w:val="2A77252D"/>
    <w:rsid w:val="2BB50FE4"/>
    <w:rsid w:val="2E087145"/>
    <w:rsid w:val="2F2D088A"/>
    <w:rsid w:val="2F627E2A"/>
    <w:rsid w:val="2F866205"/>
    <w:rsid w:val="2FC2556D"/>
    <w:rsid w:val="3003362E"/>
    <w:rsid w:val="30313057"/>
    <w:rsid w:val="304444C8"/>
    <w:rsid w:val="31944576"/>
    <w:rsid w:val="31D20CBD"/>
    <w:rsid w:val="32F114C4"/>
    <w:rsid w:val="33DB7416"/>
    <w:rsid w:val="340E16D9"/>
    <w:rsid w:val="35DF57D2"/>
    <w:rsid w:val="381B658D"/>
    <w:rsid w:val="38AF2912"/>
    <w:rsid w:val="39B546B6"/>
    <w:rsid w:val="3B8962C2"/>
    <w:rsid w:val="3DA5569E"/>
    <w:rsid w:val="3E9E45D5"/>
    <w:rsid w:val="3F0B0F33"/>
    <w:rsid w:val="3FF948E9"/>
    <w:rsid w:val="40B41052"/>
    <w:rsid w:val="44E6731E"/>
    <w:rsid w:val="45ED4171"/>
    <w:rsid w:val="46BF51C9"/>
    <w:rsid w:val="49C4715E"/>
    <w:rsid w:val="4A36016B"/>
    <w:rsid w:val="4A510CD2"/>
    <w:rsid w:val="4AEC73C7"/>
    <w:rsid w:val="4AF4653C"/>
    <w:rsid w:val="4B443FA2"/>
    <w:rsid w:val="4C0C4385"/>
    <w:rsid w:val="4E4D3EF8"/>
    <w:rsid w:val="4F2035BE"/>
    <w:rsid w:val="4F9968F0"/>
    <w:rsid w:val="4FCE52B8"/>
    <w:rsid w:val="4FCF109F"/>
    <w:rsid w:val="51E72EA1"/>
    <w:rsid w:val="53DA1028"/>
    <w:rsid w:val="54044D33"/>
    <w:rsid w:val="55D96DFE"/>
    <w:rsid w:val="5662170E"/>
    <w:rsid w:val="57F835F2"/>
    <w:rsid w:val="5915058F"/>
    <w:rsid w:val="59C448BE"/>
    <w:rsid w:val="5BC46118"/>
    <w:rsid w:val="5C913404"/>
    <w:rsid w:val="5D2326A2"/>
    <w:rsid w:val="5D7C62B1"/>
    <w:rsid w:val="5DFE6F3B"/>
    <w:rsid w:val="5E39324F"/>
    <w:rsid w:val="5E847993"/>
    <w:rsid w:val="63666576"/>
    <w:rsid w:val="63C03FB5"/>
    <w:rsid w:val="63FD1731"/>
    <w:rsid w:val="653069C1"/>
    <w:rsid w:val="655A2316"/>
    <w:rsid w:val="66811B16"/>
    <w:rsid w:val="66C13547"/>
    <w:rsid w:val="6728607A"/>
    <w:rsid w:val="675D57CC"/>
    <w:rsid w:val="67FE5C57"/>
    <w:rsid w:val="68126C46"/>
    <w:rsid w:val="68A556CB"/>
    <w:rsid w:val="6A5B0572"/>
    <w:rsid w:val="6AF131DF"/>
    <w:rsid w:val="6B7768A3"/>
    <w:rsid w:val="6C6B7AF6"/>
    <w:rsid w:val="6CCF54EA"/>
    <w:rsid w:val="6E0F7AC0"/>
    <w:rsid w:val="6F0635ED"/>
    <w:rsid w:val="708A46C3"/>
    <w:rsid w:val="711D4D6C"/>
    <w:rsid w:val="71660EEE"/>
    <w:rsid w:val="72902453"/>
    <w:rsid w:val="738315B2"/>
    <w:rsid w:val="74FE608D"/>
    <w:rsid w:val="752462DB"/>
    <w:rsid w:val="75C01C1A"/>
    <w:rsid w:val="79C87210"/>
    <w:rsid w:val="7A292246"/>
    <w:rsid w:val="7A473F05"/>
    <w:rsid w:val="7B9253C6"/>
    <w:rsid w:val="7DBA51B7"/>
    <w:rsid w:val="7EB265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szCs w:val="22"/>
    </w:rPr>
  </w:style>
  <w:style w:type="paragraph" w:styleId="3">
    <w:name w:val="Body Text Indent"/>
    <w:basedOn w:val="1"/>
    <w:qFormat/>
    <w:uiPriority w:val="0"/>
    <w:pPr>
      <w:spacing w:line="360" w:lineRule="auto"/>
      <w:ind w:left="720" w:hanging="720" w:hangingChars="300"/>
    </w:pPr>
    <w:rPr>
      <w:sz w:val="24"/>
      <w:szCs w:val="20"/>
    </w:rPr>
  </w:style>
  <w:style w:type="paragraph" w:styleId="4">
    <w:name w:val="Date"/>
    <w:basedOn w:val="1"/>
    <w:next w:val="1"/>
    <w:qFormat/>
    <w:uiPriority w:val="0"/>
    <w:rPr>
      <w:szCs w:val="20"/>
    </w:rPr>
  </w:style>
  <w:style w:type="paragraph" w:styleId="5">
    <w:name w:val="Body Text Indent 2"/>
    <w:basedOn w:val="1"/>
    <w:qFormat/>
    <w:uiPriority w:val="0"/>
    <w:pPr>
      <w:ind w:firstLine="480"/>
    </w:pPr>
    <w:rPr>
      <w:rFonts w:ascii="宋体" w:hAnsi="宋体"/>
      <w:sz w:val="30"/>
    </w:rPr>
  </w:style>
  <w:style w:type="paragraph" w:styleId="6">
    <w:name w:val="Balloon Text"/>
    <w:basedOn w:val="1"/>
    <w:link w:val="15"/>
    <w:uiPriority w:val="0"/>
    <w:rPr>
      <w:sz w:val="18"/>
      <w:szCs w:val="18"/>
    </w:rPr>
  </w:style>
  <w:style w:type="paragraph" w:styleId="7">
    <w:name w:val="footer"/>
    <w:basedOn w:val="1"/>
    <w:link w:val="12"/>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脚 Char"/>
    <w:basedOn w:val="11"/>
    <w:link w:val="7"/>
    <w:qFormat/>
    <w:uiPriority w:val="0"/>
    <w:rPr>
      <w:rFonts w:ascii="Times New Roman" w:hAnsi="Times New Roman" w:eastAsia="宋体" w:cs="Times New Roman"/>
      <w:kern w:val="2"/>
      <w:sz w:val="18"/>
      <w:szCs w:val="18"/>
    </w:rPr>
  </w:style>
  <w:style w:type="paragraph" w:styleId="13">
    <w:name w:val="List Paragraph"/>
    <w:basedOn w:val="1"/>
    <w:unhideWhenUsed/>
    <w:qFormat/>
    <w:uiPriority w:val="34"/>
    <w:pPr>
      <w:ind w:firstLine="420" w:firstLineChars="200"/>
    </w:pPr>
  </w:style>
  <w:style w:type="paragraph" w:customStyle="1" w:styleId="14">
    <w:name w:val="Default"/>
    <w:uiPriority w:val="0"/>
    <w:pPr>
      <w:widowControl w:val="0"/>
      <w:autoSpaceDE w:val="0"/>
      <w:autoSpaceDN w:val="0"/>
      <w:adjustRightInd w:val="0"/>
      <w:spacing w:line="200" w:lineRule="atLeast"/>
    </w:pPr>
    <w:rPr>
      <w:rFonts w:ascii="黑体" w:hAnsi="Calibri" w:eastAsia="黑体" w:cs="黑体"/>
      <w:color w:val="000000"/>
      <w:sz w:val="24"/>
      <w:szCs w:val="24"/>
      <w:lang w:val="en-US" w:eastAsia="zh-CN" w:bidi="ar-SA"/>
    </w:rPr>
  </w:style>
  <w:style w:type="character" w:customStyle="1" w:styleId="15">
    <w:name w:val="批注框文本 Char"/>
    <w:basedOn w:val="11"/>
    <w:link w:val="6"/>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6</Pages>
  <Words>2400</Words>
  <Characters>2666</Characters>
  <Lines>20</Lines>
  <Paragraphs>5</Paragraphs>
  <TotalTime>17</TotalTime>
  <ScaleCrop>false</ScaleCrop>
  <LinksUpToDate>false</LinksUpToDate>
  <CharactersWithSpaces>2726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2020-07-15T07:39:00Z</dcterms:created>
  <dc:creator>Administrator</dc:creator>
  <cp:lastModifiedBy>Administrator</cp:lastModifiedBy>
  <cp:lastPrinted>2022-04-20T08:54:00Z</cp:lastPrinted>
  <dcterms:modified xsi:type="dcterms:W3CDTF">2022-09-19T09:22:21Z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3AF74B6526F644168521177B499BEC4D</vt:lpwstr>
  </property>
</Properties>
</file>