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《海安市人民医院快速核酸检测仪采购》项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1.项目编号：HARY-YXZBK-125</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3.项目内容：快速核酸检测仪1台采购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8336"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124"/>
        <w:gridCol w:w="1418"/>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1984" w:type="dxa"/>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预算单价（元）</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124"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快速核酸检测仪</w:t>
            </w:r>
          </w:p>
        </w:tc>
        <w:tc>
          <w:tcPr>
            <w:tcW w:w="1418"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1台</w:t>
            </w:r>
          </w:p>
        </w:tc>
        <w:tc>
          <w:tcPr>
            <w:tcW w:w="1984" w:type="dxa"/>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130000</w:t>
            </w:r>
          </w:p>
        </w:tc>
        <w:tc>
          <w:tcPr>
            <w:tcW w:w="1843"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130000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80" w:lineRule="exact"/>
        <w:ind w:firstLine="275" w:firstLineChars="98"/>
        <w:rPr>
          <w:rFonts w:hint="eastAsia" w:ascii="仿宋" w:hAnsi="仿宋" w:eastAsia="仿宋" w:cs="宋体"/>
          <w:b/>
          <w:bCs/>
          <w:color w:val="333333"/>
          <w:kern w:val="0"/>
          <w:sz w:val="28"/>
          <w:szCs w:val="28"/>
        </w:rPr>
      </w:pPr>
    </w:p>
    <w:tbl>
      <w:tblPr>
        <w:tblStyle w:val="8"/>
        <w:tblW w:w="8717" w:type="dxa"/>
        <w:tblInd w:w="-34" w:type="dxa"/>
        <w:tblLayout w:type="autofit"/>
        <w:tblCellMar>
          <w:top w:w="0" w:type="dxa"/>
          <w:left w:w="108" w:type="dxa"/>
          <w:bottom w:w="0" w:type="dxa"/>
          <w:right w:w="108" w:type="dxa"/>
        </w:tblCellMar>
      </w:tblPr>
      <w:tblGrid>
        <w:gridCol w:w="496"/>
        <w:gridCol w:w="776"/>
        <w:gridCol w:w="7582"/>
      </w:tblGrid>
      <w:tr>
        <w:tblPrEx>
          <w:tblCellMar>
            <w:top w:w="0" w:type="dxa"/>
            <w:left w:w="108" w:type="dxa"/>
            <w:bottom w:w="0" w:type="dxa"/>
            <w:right w:w="108" w:type="dxa"/>
          </w:tblCellMar>
        </w:tblPrEx>
        <w:trPr>
          <w:trHeight w:val="402" w:hRule="atLeast"/>
        </w:trPr>
        <w:tc>
          <w:tcPr>
            <w:tcW w:w="8717"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核酸扩增检测分析仪技术参数</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检测原理：基于荧光聚合酶链反应原理</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2</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检测通量：≥8</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适用样本类型：咽拭子、痰液样本</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4</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适用灭活型（含胍盐）和非灭活型的样本保存液</w:t>
            </w:r>
          </w:p>
        </w:tc>
      </w:tr>
      <w:tr>
        <w:tblPrEx>
          <w:tblCellMar>
            <w:top w:w="0" w:type="dxa"/>
            <w:left w:w="108" w:type="dxa"/>
            <w:bottom w:w="0" w:type="dxa"/>
            <w:right w:w="108" w:type="dxa"/>
          </w:tblCellMar>
        </w:tblPrEx>
        <w:trPr>
          <w:trHeight w:val="559"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5</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检测模式：核酸提取、扩增检测均在同一封闭、便携式仪器上完成；样本上机后至结果报告过程，无需任何手工操作。</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6</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检测时间：全流程≤90分钟</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7</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检测模块：独立检测模块，可实现来样即测。</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8</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核酸提取方式：磁珠法提取</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9</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可支持多样本混合检测</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10</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试剂最低检测限≤200拷贝/mL</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11</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试剂灵敏度≥98%，特异性＞95%</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12</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试剂2~8℃储存，即拿即用，无需室温融化、振荡、离心。</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13</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荧光强度检测重复性：CV值&lt;3％</w:t>
            </w:r>
          </w:p>
        </w:tc>
      </w:tr>
      <w:tr>
        <w:tblPrEx>
          <w:tblCellMar>
            <w:top w:w="0" w:type="dxa"/>
            <w:left w:w="108" w:type="dxa"/>
            <w:bottom w:w="0" w:type="dxa"/>
            <w:right w:w="108" w:type="dxa"/>
          </w:tblCellMar>
        </w:tblPrEx>
        <w:trPr>
          <w:trHeight w:val="720"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14</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结果判读及报告：系统仪器可实时采集荧光信号并自动生成实时荧光曲线，通过对荧光信号变化的分析实现自动判定并报告检测结果。</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15</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设备及配套试剂具有三类医疗器械注册证。</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16</w:t>
            </w:r>
          </w:p>
        </w:tc>
        <w:tc>
          <w:tcPr>
            <w:tcW w:w="7582" w:type="dxa"/>
            <w:tcBorders>
              <w:top w:val="nil"/>
              <w:left w:val="nil"/>
              <w:bottom w:val="single" w:color="auto" w:sz="4" w:space="0"/>
              <w:right w:val="single" w:color="auto" w:sz="8" w:space="0"/>
            </w:tcBorders>
            <w:shd w:val="clear" w:color="auto" w:fill="auto"/>
            <w:noWrap/>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技术服务</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16.1</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质量保证期：为自设备通过最终验收起12个月；整机保修1年，终身维修。</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16.2</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装机培训：提供装机及培训计划。</w:t>
            </w:r>
          </w:p>
        </w:tc>
      </w:tr>
      <w:tr>
        <w:tblPrEx>
          <w:tblCellMar>
            <w:top w:w="0" w:type="dxa"/>
            <w:left w:w="108" w:type="dxa"/>
            <w:bottom w:w="0" w:type="dxa"/>
            <w:right w:w="108" w:type="dxa"/>
          </w:tblCellMar>
        </w:tblPrEx>
        <w:trPr>
          <w:trHeight w:val="402" w:hRule="atLeast"/>
        </w:trPr>
        <w:tc>
          <w:tcPr>
            <w:tcW w:w="496" w:type="dxa"/>
            <w:tcBorders>
              <w:top w:val="nil"/>
              <w:left w:val="single" w:color="auto" w:sz="8"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　</w:t>
            </w:r>
          </w:p>
        </w:tc>
        <w:tc>
          <w:tcPr>
            <w:tcW w:w="639"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16.3</w:t>
            </w:r>
          </w:p>
        </w:tc>
        <w:tc>
          <w:tcPr>
            <w:tcW w:w="7582" w:type="dxa"/>
            <w:tcBorders>
              <w:top w:val="nil"/>
              <w:left w:val="nil"/>
              <w:bottom w:val="single" w:color="auto" w:sz="4" w:space="0"/>
              <w:right w:val="single" w:color="auto" w:sz="8" w:space="0"/>
            </w:tcBorders>
            <w:shd w:val="clear" w:color="auto" w:fill="auto"/>
            <w:vAlign w:val="center"/>
          </w:tcPr>
          <w:p>
            <w:pPr>
              <w:spacing w:line="480" w:lineRule="exact"/>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响应时间：售后服务响应时间为2小时，在48小时内派技术人员到现场服务。</w:t>
            </w:r>
          </w:p>
        </w:tc>
      </w:tr>
    </w:tbl>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3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1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质保期</w:t>
      </w:r>
      <w:bookmarkStart w:id="0" w:name="_GoBack"/>
      <w:bookmarkEnd w:id="0"/>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6"/>
          <w:szCs w:val="36"/>
        </w:rPr>
      </w:pPr>
    </w:p>
    <w:p>
      <w:pPr>
        <w:snapToGrid w:val="0"/>
        <w:spacing w:line="300" w:lineRule="auto"/>
        <w:rPr>
          <w:rFonts w:ascii="仿宋" w:hAnsi="仿宋" w:eastAsia="仿宋"/>
          <w:b/>
          <w:sz w:val="32"/>
          <w:szCs w:val="32"/>
        </w:rPr>
      </w:pPr>
      <w:r>
        <w:rPr>
          <w:rFonts w:hint="eastAsia" w:ascii="仿宋" w:hAnsi="仿宋" w:eastAsia="仿宋"/>
          <w:b/>
          <w:sz w:val="32"/>
          <w:szCs w:val="32"/>
        </w:rPr>
        <w:t>附件1</w:t>
      </w:r>
    </w:p>
    <w:p>
      <w:pPr>
        <w:snapToGrid w:val="0"/>
        <w:spacing w:line="300" w:lineRule="auto"/>
        <w:jc w:val="center"/>
        <w:rPr>
          <w:rFonts w:ascii="仿宋" w:hAnsi="仿宋" w:eastAsia="仿宋"/>
          <w:b/>
          <w:sz w:val="36"/>
          <w:szCs w:val="36"/>
        </w:rPr>
      </w:pP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276D5E"/>
    <w:rsid w:val="00300433"/>
    <w:rsid w:val="003251A6"/>
    <w:rsid w:val="0036341A"/>
    <w:rsid w:val="003D6FA7"/>
    <w:rsid w:val="00402E3B"/>
    <w:rsid w:val="004C0666"/>
    <w:rsid w:val="004D7F98"/>
    <w:rsid w:val="0056052A"/>
    <w:rsid w:val="005A1406"/>
    <w:rsid w:val="00636E74"/>
    <w:rsid w:val="0064592A"/>
    <w:rsid w:val="00766268"/>
    <w:rsid w:val="007D7FE3"/>
    <w:rsid w:val="0083032D"/>
    <w:rsid w:val="00861C48"/>
    <w:rsid w:val="00875090"/>
    <w:rsid w:val="008F116D"/>
    <w:rsid w:val="00927744"/>
    <w:rsid w:val="00940237"/>
    <w:rsid w:val="00996FAB"/>
    <w:rsid w:val="009A0A64"/>
    <w:rsid w:val="009F5608"/>
    <w:rsid w:val="00AA45C4"/>
    <w:rsid w:val="00C52205"/>
    <w:rsid w:val="00C66E5E"/>
    <w:rsid w:val="00CB3874"/>
    <w:rsid w:val="00CB7123"/>
    <w:rsid w:val="00CE4722"/>
    <w:rsid w:val="00D04C15"/>
    <w:rsid w:val="00D17DB2"/>
    <w:rsid w:val="00D86FF3"/>
    <w:rsid w:val="00D975E1"/>
    <w:rsid w:val="00E00B91"/>
    <w:rsid w:val="00F04D52"/>
    <w:rsid w:val="00F357A4"/>
    <w:rsid w:val="00F53DD2"/>
    <w:rsid w:val="00F61444"/>
    <w:rsid w:val="00F62D27"/>
    <w:rsid w:val="00F667C3"/>
    <w:rsid w:val="00FD4781"/>
    <w:rsid w:val="00FF37A4"/>
    <w:rsid w:val="02AB0941"/>
    <w:rsid w:val="04A326A5"/>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4407E5"/>
    <w:rsid w:val="1D710427"/>
    <w:rsid w:val="1D734BD5"/>
    <w:rsid w:val="1D8204B6"/>
    <w:rsid w:val="1F2160AC"/>
    <w:rsid w:val="2045770A"/>
    <w:rsid w:val="208D1003"/>
    <w:rsid w:val="231C0FD0"/>
    <w:rsid w:val="241B0533"/>
    <w:rsid w:val="24797169"/>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0D61E06"/>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 w:type="paragraph" w:customStyle="1" w:styleId="13">
    <w:name w:val="Default"/>
    <w:qFormat/>
    <w:uiPriority w:val="0"/>
    <w:pPr>
      <w:widowControl w:val="0"/>
      <w:autoSpaceDE w:val="0"/>
      <w:autoSpaceDN w:val="0"/>
      <w:adjustRightInd w:val="0"/>
      <w:spacing w:line="200" w:lineRule="atLeast"/>
    </w:pPr>
    <w:rPr>
      <w:rFonts w:ascii="黑体" w:hAnsi="Calibri" w:eastAsia="黑体" w:cs="黑体"/>
      <w:color w:val="000000"/>
      <w:sz w:val="24"/>
      <w:szCs w:val="24"/>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1747</Words>
  <Characters>1866</Characters>
  <Lines>15</Lines>
  <Paragraphs>4</Paragraphs>
  <TotalTime>5</TotalTime>
  <ScaleCrop>false</ScaleCrop>
  <LinksUpToDate>false</LinksUpToDate>
  <CharactersWithSpaces>1926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2022-09-29T02:42:24Z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